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华文中宋" w:eastAsia="仿宋_GB2312"/>
          <w:sz w:val="32"/>
          <w:szCs w:val="32"/>
        </w:rPr>
      </w:pPr>
      <w:bookmarkStart w:id="0" w:name="_GoBack"/>
      <w:bookmarkEnd w:id="0"/>
    </w:p>
    <w:p>
      <w:pPr>
        <w:snapToGrid w:val="0"/>
        <w:spacing w:line="360" w:lineRule="auto"/>
        <w:jc w:val="center"/>
        <w:rPr>
          <w:rFonts w:ascii="仿宋_GB2312" w:hAnsi="华文中宋"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387985</wp:posOffset>
                </wp:positionV>
                <wp:extent cx="4699000" cy="1270000"/>
                <wp:effectExtent l="0" t="0" r="889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a:effectLst/>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2336;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m8bJtQAAAAHAQAADwAAAAAAAAAB&#10;ACAAAAAiAAAAZHJzL2Rvd25yZXYueG1sUEsBAhQAFAAAAAgAh07iQAeqG7gUAgAA/wMAAA4AAAAA&#10;AAAAAQAgAAAAIwEAAGRycy9lMm9Eb2MueG1sUEsFBgAAAAAGAAYAWQEAAKkFA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ragraph">
                  <wp:posOffset>2411095</wp:posOffset>
                </wp:positionV>
                <wp:extent cx="5562600" cy="0"/>
                <wp:effectExtent l="0" t="7620" r="11430"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a:effectLst/>
                      </wps:spPr>
                      <wps:bodyPr/>
                    </wps:wsp>
                  </a:graphicData>
                </a:graphic>
              </wp:anchor>
            </w:drawing>
          </mc:Choice>
          <mc:Fallback>
            <w:pict>
              <v:line id="_x0000_s1026" o:spid="_x0000_s1026" o:spt="20" style="position:absolute;left:0pt;margin-top:189.85pt;height:0pt;width:438pt;mso-position-horizontal:center;z-index:251661312;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Nj071QAAAAgBAAAPAAAAAAAAAAEAIAAAACIAAABk&#10;cnMvZG93bnJldi54bWxQSwECFAAUAAAACACHTuJA2xupw9ABAABrAwAADgAAAAAAAAABACAAAAAk&#10;AQAAZHJzL2Uyb0RvYy54bWxQSwUGAAAAAAYABgBZAQAAZgU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rPr>
        <w:t>粤体群〔201</w:t>
      </w:r>
      <w:r>
        <w:rPr>
          <w:rFonts w:hint="eastAsia" w:ascii="仿宋_GB2312" w:hAnsi="华文中宋" w:eastAsia="仿宋_GB2312"/>
          <w:sz w:val="32"/>
          <w:szCs w:val="32"/>
          <w:lang w:val="en-US" w:eastAsia="zh-CN"/>
        </w:rPr>
        <w:t>9</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84</w:t>
      </w:r>
      <w:r>
        <w:rPr>
          <w:rFonts w:hint="eastAsia" w:ascii="仿宋_GB2312" w:hAnsi="华文中宋" w:eastAsia="仿宋_GB2312"/>
          <w:sz w:val="32"/>
          <w:szCs w:val="32"/>
        </w:rPr>
        <w:t>号</w:t>
      </w:r>
    </w:p>
    <w:p>
      <w:pPr>
        <w:snapToGrid w:val="0"/>
        <w:spacing w:line="360" w:lineRule="auto"/>
        <w:jc w:val="center"/>
        <w:rPr>
          <w:rFonts w:hint="eastAsia" w:ascii="仿宋_GB2312" w:hAnsi="华文中宋" w:eastAsia="仿宋_GB2312"/>
          <w:sz w:val="32"/>
          <w:szCs w:val="32"/>
        </w:rPr>
      </w:pPr>
    </w:p>
    <w:p>
      <w:pPr>
        <w:snapToGrid w:val="0"/>
        <w:spacing w:line="800" w:lineRule="exact"/>
        <w:jc w:val="center"/>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关于进一步加强全民健身器材安全使用</w:t>
      </w:r>
    </w:p>
    <w:p>
      <w:pPr>
        <w:snapToGrid w:val="0"/>
        <w:spacing w:line="800" w:lineRule="exact"/>
        <w:jc w:val="center"/>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和管理工作的通知</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pacing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各地级以上市体育行政部门：</w:t>
      </w:r>
    </w:p>
    <w:p>
      <w:pPr>
        <w:keepNext w:val="0"/>
        <w:keepLines w:val="0"/>
        <w:pageBreakBefore w:val="0"/>
        <w:widowControl w:val="0"/>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spacing w:val="0"/>
          <w:sz w:val="32"/>
          <w:szCs w:val="32"/>
          <w:lang w:val="en-US" w:eastAsia="zh-CN"/>
        </w:rPr>
        <w:t>近年来，全省各地配建的全民健身器材数量不断增多，极大地改善了群众的健身条件与环境，不断满足了群众日益增长的多元化健身需求。由于部分地方对全民健身器材管理维护不到位，加之器材使用时间和频率增加，出现器材残旧、损坏严重以及</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超期使用等问题，容易产生事故隐患，若不及时处理，将影响群众健身安全，损害政府部门为民服务的形象。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为进一步规范全民健身器材的安全使用和</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管理工作，做到建管并重，切实保障健身器材质量以及群众的健身安全，为群众提供良好的健身环境，根据国家有关规定，结合我省</w:t>
      </w:r>
      <w:r>
        <w:rPr>
          <w:rFonts w:hint="eastAsia" w:ascii="仿宋_GB2312" w:hAnsi="仿宋_GB2312" w:eastAsia="仿宋_GB2312" w:cs="仿宋_GB2312"/>
          <w:spacing w:val="0"/>
          <w:sz w:val="32"/>
          <w:szCs w:val="32"/>
          <w:lang w:val="en-US" w:eastAsia="zh-CN"/>
        </w:rPr>
        <w:t>实际，特提出如下意见：</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进一步加强全民健身器材的组织领导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spacing w:val="0"/>
          <w:sz w:val="32"/>
          <w:szCs w:val="32"/>
          <w:lang w:val="en-US" w:eastAsia="zh-CN"/>
        </w:rPr>
        <w:t>各级体育行政部门要积极推动本级政府进一步加强对全民健身器材管理工作的领导，强化对健身器材管理工作的督查、考核和追责力度，积极争取将健身器材管理工作纳入各地各部门绩效工作管理范畴，杜绝健身群众人身伤害事故的发生。调动社会力量参与本地区全民健身器材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配建和管理工作，充分发挥健身器材的功能作用，全面提升器材服务效能。</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进一步规范全民健身器材招标采购工作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各地各部门要严格按照国家体育总局《室外健身器材配建管理办法》（体群字[2017]61号）与广东省体育局《全民健身器材管理办法》（粤体规〔2018〕16号）的要求，采购的全民健身器材要符合GB 19272-2011《室外健身器材的安全 通用要求》以及其他关于全民健身器材配建工作的国家标准，并通过经国家认可的器材质量认证机构的产品质量认证，确保为健身群众提供质量有保证的全民健身器材。</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进一步明确全民健身器材管理工作职责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FF0000"/>
          <w:spacing w:val="0"/>
          <w:sz w:val="32"/>
          <w:szCs w:val="32"/>
          <w:lang w:val="en-US" w:eastAsia="zh-CN"/>
        </w:rPr>
      </w:pPr>
      <w:r>
        <w:rPr>
          <w:rFonts w:hint="eastAsia" w:ascii="仿宋_GB2312" w:hAnsi="仿宋_GB2312" w:eastAsia="仿宋_GB2312" w:cs="仿宋_GB2312"/>
          <w:spacing w:val="0"/>
          <w:sz w:val="32"/>
          <w:szCs w:val="32"/>
          <w:lang w:val="en-US" w:eastAsia="zh-CN"/>
        </w:rPr>
        <w:t>全民健身器材实行“属地管理”，按照“谁接收，谁使用、谁管理”的原</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则。接收全民健身器材的城乡社区公园、广场等管理单位以及机关、企事业单位、学校等，是全民健身器材的管理单位，是全民健身器材安全运行的责任主体，应将全民健身器材纳入本单位的资产管理范围，保证器材使用的安全性和公益性；省体育局负责对全省全民健身器材配建管理工作的指导以</w:t>
      </w:r>
      <w:r>
        <w:rPr>
          <w:rFonts w:hint="eastAsia" w:ascii="仿宋_GB2312" w:hAnsi="仿宋_GB2312" w:eastAsia="仿宋_GB2312" w:cs="仿宋_GB2312"/>
          <w:spacing w:val="0"/>
          <w:sz w:val="32"/>
          <w:szCs w:val="32"/>
          <w:lang w:val="en-US" w:eastAsia="zh-CN"/>
        </w:rPr>
        <w:t>及对省级配建的全民健身器材进行监督；各市、县（市、区）体育行政部门负责对本行政区域全民健身器材配建工作的具体实施以及管理维护工作的监督指导。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对处于保修期内的器材因其自身质量问题而损坏的，器材管理单位应及时联系供应商，由供应商免费维修或更换；对超出保修期的器材由供应商负责维修，维修产生的费用以器材管理单位为主；对超过国家标准规定的安全使用寿命期的器材应予报废，由器材管理单位拆除；对安全使用寿命期内的器材进行拆除，器材管理单位应在原址或择地配建同等数量的器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四、进一步加强全民健身器材的监督检查工作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器材管理单位要建立健全全民健身器材使用、维护、安全、卫生以及日常巡查制度，定期对辖区内的健身器材进行安全检查，同时，做好辖区内健身器材使用情况的登记备案工作；各级体育行政部门要结合当地实际，制定全民健身器材管理办法，建立健全全民健身器材安全监管机制，可通过政府采购服务等多种方式每年定期对辖区内健身器材的安装、使用及维护管理情况进行指导和督查，切实掌握辖区内健身器材的配建、使用、管理情况，发现问题应及时整改，不断提升全民健身服务水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五、进一步做好全民健身器材统计摸查工作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为进一步了解各地全民健身器材配建、使用、管理的情况，更好掌握近年来省体育局配建各地的全民健身器材使用与管理情况，为下一步全省推进全民健身器材更新维护工作提供依据。请各地市体育行政部门组织县（市、区）体育行政部门，结合正在进行的全国体育场地统计调查工作对辖区内全民健身器材情况进行细致地统计摸查，并将2016-2018年省级体育彩票公益金购置配建于本辖区的健身路径现状摸查情况（填报附件4《广东省体育局配建健身路径现状摸查表》），于2019年7月31日前将报至省体育局群体处，电子版材料请发以下邮箱：gdquntichu</w:t>
      </w:r>
      <w:r>
        <w:rPr>
          <w:rFonts w:hint="eastAsia" w:asciiTheme="minorEastAsia" w:hAnsiTheme="minorEastAsia" w:eastAsiaTheme="minorEastAsia" w:cstheme="minorEastAsia"/>
          <w:spacing w:val="0"/>
          <w:sz w:val="32"/>
          <w:szCs w:val="32"/>
          <w:lang w:val="en-US" w:eastAsia="zh-CN"/>
        </w:rPr>
        <w:t>@</w:t>
      </w:r>
      <w:r>
        <w:rPr>
          <w:rFonts w:hint="eastAsia" w:ascii="仿宋_GB2312" w:hAnsi="仿宋_GB2312" w:eastAsia="仿宋_GB2312" w:cs="仿宋_GB2312"/>
          <w:spacing w:val="0"/>
          <w:sz w:val="32"/>
          <w:szCs w:val="32"/>
          <w:lang w:val="en-US" w:eastAsia="zh-CN"/>
        </w:rPr>
        <w:t>126.com。</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附件：1.室外健身器材配建管理办法（体群字〔2017〕</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1920" w:firstLineChars="6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61号）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916" w:leftChars="760" w:hanging="320" w:hangingChars="1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2.广东省体育局全民健身器材管理办法（粤体规〔2018〕16号）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1600" w:firstLineChars="5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3.2016-2018年广东省体育局配建健身路径明细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1600" w:firstLineChars="500"/>
        <w:jc w:val="both"/>
        <w:textAlignment w:val="auto"/>
        <w:outlineLvl w:val="9"/>
        <w:rPr>
          <w:rFonts w:hint="eastAsia" w:ascii="仿宋_GB2312" w:hAnsi="仿宋_GB2312" w:eastAsia="仿宋_GB2312" w:cs="仿宋_GB2312"/>
          <w:spacing w:val="0"/>
          <w:sz w:val="32"/>
          <w:szCs w:val="32"/>
          <w:lang w:val="en-US" w:eastAsia="zh-CN"/>
        </w:rPr>
      </w:pPr>
      <w:r>
        <w:rPr>
          <w:sz w:val="32"/>
        </w:rPr>
        <w:pict>
          <v:shape id="_x0000_s1026" o:spid="_x0000_s1026" o:spt="201" type="#_x0000_t201" style="position:absolute;left:0pt;margin-left:255.05pt;margin-top:27.2pt;height:134pt;width:135pt;z-index:-251646976;mso-width-relative:page;mso-height-relative:page;" o:ole="t" filled="f" o:preferrelative="t" stroked="f" coordsize="21600,21600">
            <v:path/>
            <v:fill on="f" focussize="0,0"/>
            <v:stroke on="f"/>
            <v:imagedata r:id="rId6" o:title=""/>
            <o:lock v:ext="edit" aspectratio="f"/>
          </v:shape>
          <w:control r:id="rId5" w:name="CWordOLECtrl1" w:shapeid="_x0000_s1026"/>
        </w:pict>
      </w:r>
      <w:r>
        <w:rPr>
          <w:rFonts w:hint="eastAsia" w:ascii="仿宋_GB2312" w:hAnsi="仿宋_GB2312" w:eastAsia="仿宋_GB2312" w:cs="仿宋_GB2312"/>
          <w:spacing w:val="0"/>
          <w:sz w:val="32"/>
          <w:szCs w:val="32"/>
          <w:lang w:val="en-US" w:eastAsia="zh-CN"/>
        </w:rPr>
        <w:t>4.广东省体育局配建健身路径现状摸查表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广东省体育局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2019年5月20日</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tabs>
          <w:tab w:val="left" w:pos="396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spacing w:val="-6"/>
          <w:sz w:val="42"/>
          <w:szCs w:val="42"/>
          <w:lang w:val="en-US" w:eastAsia="zh-CN"/>
        </w:rPr>
      </w:pPr>
      <w:r>
        <w:rPr>
          <w:rFonts w:hint="eastAsia" w:ascii="方正小标宋_GBK" w:hAnsi="方正小标宋_GBK" w:eastAsia="方正小标宋_GBK" w:cs="方正小标宋_GBK"/>
          <w:spacing w:val="-6"/>
          <w:sz w:val="42"/>
          <w:szCs w:val="42"/>
          <w:lang w:val="en-US" w:eastAsia="zh-CN"/>
        </w:rPr>
        <w:t>2016-2018年广东省体育局配建健身路径明细</w:t>
      </w:r>
    </w:p>
    <w:tbl>
      <w:tblPr>
        <w:tblStyle w:val="7"/>
        <w:tblW w:w="9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28"/>
        <w:gridCol w:w="1536"/>
        <w:gridCol w:w="1608"/>
        <w:gridCol w:w="1860"/>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序号</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地市</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2015年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配建数量</w:t>
            </w:r>
          </w:p>
        </w:tc>
        <w:tc>
          <w:tcPr>
            <w:tcW w:w="160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2016年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2017年</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2018年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配建数量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汕头市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40</w:t>
            </w:r>
          </w:p>
        </w:tc>
        <w:tc>
          <w:tcPr>
            <w:tcW w:w="346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2016-2017年省体育局下拨资金由各地市自行采购的健身路径器材，请在附件4的表格中填报数量。</w:t>
            </w: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韶关市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43</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河源市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35</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梅州市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38</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5</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惠州市</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15</w:t>
            </w:r>
          </w:p>
        </w:tc>
        <w:tc>
          <w:tcPr>
            <w:tcW w:w="346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6</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汕尾市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139</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7</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江门市</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25</w:t>
            </w:r>
          </w:p>
        </w:tc>
        <w:tc>
          <w:tcPr>
            <w:tcW w:w="346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8</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阳江市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39</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9</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湛江市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63</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茂名市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36</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11</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肇庆市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45</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12</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清远市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35</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13</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潮州市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29</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14</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揭阳市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37</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15</w:t>
            </w: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云浮市</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28</w:t>
            </w:r>
          </w:p>
        </w:tc>
        <w:tc>
          <w:tcPr>
            <w:tcW w:w="346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138"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合计</w:t>
            </w:r>
          </w:p>
        </w:tc>
        <w:tc>
          <w:tcPr>
            <w:tcW w:w="153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647</w:t>
            </w:r>
          </w:p>
        </w:tc>
        <w:tc>
          <w:tcPr>
            <w:tcW w:w="1608"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186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2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2602</w:t>
            </w:r>
          </w:p>
        </w:tc>
      </w:tr>
    </w:tbl>
    <w:p>
      <w:pPr>
        <w:ind w:firstLine="640" w:firstLineChars="200"/>
        <w:rPr>
          <w:rFonts w:hint="eastAsia" w:ascii="仿宋_GB2312" w:hAnsi="仿宋_GB2312" w:eastAsia="仿宋_GB2312" w:cs="仿宋_GB2312"/>
          <w:sz w:val="32"/>
          <w:szCs w:val="32"/>
          <w:lang w:val="en-US" w:eastAsia="zh-CN"/>
        </w:rPr>
        <w:sectPr>
          <w:pgSz w:w="11906" w:h="16838"/>
          <w:pgMar w:top="1440" w:right="1800" w:bottom="1440" w:left="1800" w:header="851" w:footer="850" w:gutter="0"/>
          <w:pgNumType w:fmt="numberInDash"/>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numPr>
          <w:ilvl w:val="0"/>
          <w:numId w:val="0"/>
        </w:numPr>
        <w:ind w:leftChars="500" w:firstLine="1760" w:firstLineChars="40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广东省体育局配建健身路径现状摸查表</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地市体育行政部门（盖章）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单位：套  </w:t>
      </w:r>
      <w:r>
        <w:rPr>
          <w:rFonts w:hint="eastAsia" w:ascii="仿宋_GB2312" w:hAnsi="仿宋_GB2312" w:eastAsia="仿宋_GB2312" w:cs="仿宋_GB2312"/>
          <w:sz w:val="32"/>
          <w:szCs w:val="32"/>
          <w:lang w:val="en-US" w:eastAsia="zh-CN"/>
        </w:rPr>
        <w:t xml:space="preserve">                </w:t>
      </w:r>
    </w:p>
    <w:tbl>
      <w:tblPr>
        <w:tblStyle w:val="8"/>
        <w:tblW w:w="15528" w:type="dxa"/>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188"/>
        <w:gridCol w:w="1116"/>
        <w:gridCol w:w="1848"/>
        <w:gridCol w:w="1692"/>
        <w:gridCol w:w="1932"/>
        <w:gridCol w:w="1500"/>
        <w:gridCol w:w="1404"/>
        <w:gridCol w:w="174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47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健身路径所在县（市、区）</w:t>
            </w:r>
          </w:p>
        </w:tc>
        <w:tc>
          <w:tcPr>
            <w:tcW w:w="4152"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配建健身路径数量</w:t>
            </w:r>
          </w:p>
        </w:tc>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正常使用的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器材数量</w:t>
            </w:r>
          </w:p>
        </w:tc>
        <w:tc>
          <w:tcPr>
            <w:tcW w:w="193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超过期限使用的器材数量</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已拆除的器材数量</w:t>
            </w:r>
          </w:p>
        </w:tc>
        <w:tc>
          <w:tcPr>
            <w:tcW w:w="140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已更新的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器材数量</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计划拆除的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器材数量</w:t>
            </w:r>
          </w:p>
        </w:tc>
        <w:tc>
          <w:tcPr>
            <w:tcW w:w="163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计划更新的器材数量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vMerge w:val="continue"/>
          </w:tcPr>
          <w:p>
            <w:pPr>
              <w:rPr>
                <w:rFonts w:hint="eastAsia" w:ascii="仿宋_GB2312" w:hAnsi="仿宋_GB2312" w:eastAsia="仿宋_GB2312" w:cs="仿宋_GB2312"/>
                <w:sz w:val="28"/>
                <w:szCs w:val="28"/>
                <w:vertAlign w:val="baseline"/>
                <w:lang w:val="en-US" w:eastAsia="zh-CN"/>
              </w:rPr>
            </w:pPr>
          </w:p>
        </w:tc>
        <w:tc>
          <w:tcPr>
            <w:tcW w:w="118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2016年数量</w:t>
            </w:r>
          </w:p>
        </w:tc>
        <w:tc>
          <w:tcPr>
            <w:tcW w:w="1116"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2017年数量</w:t>
            </w:r>
          </w:p>
        </w:tc>
        <w:tc>
          <w:tcPr>
            <w:tcW w:w="1848"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2016-2018年数量</w:t>
            </w:r>
          </w:p>
        </w:tc>
        <w:tc>
          <w:tcPr>
            <w:tcW w:w="1692" w:type="dxa"/>
            <w:vMerge w:val="continue"/>
          </w:tcPr>
          <w:p>
            <w:pPr>
              <w:rPr>
                <w:rFonts w:hint="eastAsia" w:ascii="仿宋_GB2312" w:hAnsi="仿宋_GB2312" w:eastAsia="仿宋_GB2312" w:cs="仿宋_GB2312"/>
                <w:sz w:val="28"/>
                <w:szCs w:val="28"/>
                <w:vertAlign w:val="baseline"/>
                <w:lang w:val="en-US" w:eastAsia="zh-CN"/>
              </w:rPr>
            </w:pPr>
          </w:p>
        </w:tc>
        <w:tc>
          <w:tcPr>
            <w:tcW w:w="1932" w:type="dxa"/>
            <w:vMerge w:val="continue"/>
          </w:tcPr>
          <w:p>
            <w:pPr>
              <w:rPr>
                <w:rFonts w:hint="eastAsia" w:ascii="仿宋_GB2312" w:hAnsi="仿宋_GB2312" w:eastAsia="仿宋_GB2312" w:cs="仿宋_GB2312"/>
                <w:sz w:val="28"/>
                <w:szCs w:val="28"/>
                <w:vertAlign w:val="baseline"/>
                <w:lang w:val="en-US" w:eastAsia="zh-CN"/>
              </w:rPr>
            </w:pPr>
          </w:p>
        </w:tc>
        <w:tc>
          <w:tcPr>
            <w:tcW w:w="1500" w:type="dxa"/>
            <w:vMerge w:val="continue"/>
          </w:tcPr>
          <w:p>
            <w:pPr>
              <w:rPr>
                <w:rFonts w:hint="eastAsia" w:ascii="仿宋_GB2312" w:hAnsi="仿宋_GB2312" w:eastAsia="仿宋_GB2312" w:cs="仿宋_GB2312"/>
                <w:sz w:val="28"/>
                <w:szCs w:val="28"/>
                <w:vertAlign w:val="baseline"/>
                <w:lang w:val="en-US" w:eastAsia="zh-CN"/>
              </w:rPr>
            </w:pPr>
          </w:p>
        </w:tc>
        <w:tc>
          <w:tcPr>
            <w:tcW w:w="1404" w:type="dxa"/>
            <w:vMerge w:val="continue"/>
          </w:tcPr>
          <w:p>
            <w:pPr>
              <w:rPr>
                <w:rFonts w:hint="eastAsia" w:ascii="仿宋_GB2312" w:hAnsi="仿宋_GB2312" w:eastAsia="仿宋_GB2312" w:cs="仿宋_GB2312"/>
                <w:sz w:val="28"/>
                <w:szCs w:val="28"/>
                <w:vertAlign w:val="baseline"/>
                <w:lang w:val="en-US" w:eastAsia="zh-CN"/>
              </w:rPr>
            </w:pPr>
          </w:p>
        </w:tc>
        <w:tc>
          <w:tcPr>
            <w:tcW w:w="1740" w:type="dxa"/>
            <w:vMerge w:val="continue"/>
          </w:tcPr>
          <w:p>
            <w:pPr>
              <w:rPr>
                <w:rFonts w:hint="eastAsia" w:ascii="仿宋_GB2312" w:hAnsi="仿宋_GB2312" w:eastAsia="仿宋_GB2312" w:cs="仿宋_GB2312"/>
                <w:sz w:val="28"/>
                <w:szCs w:val="28"/>
                <w:vertAlign w:val="baseline"/>
                <w:lang w:val="en-US" w:eastAsia="zh-CN"/>
              </w:rPr>
            </w:pPr>
          </w:p>
        </w:tc>
        <w:tc>
          <w:tcPr>
            <w:tcW w:w="1632" w:type="dxa"/>
            <w:vMerge w:val="continue"/>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rFonts w:hint="eastAsia" w:ascii="仿宋_GB2312" w:hAnsi="仿宋_GB2312" w:eastAsia="仿宋_GB2312" w:cs="仿宋_GB2312"/>
                <w:sz w:val="28"/>
                <w:szCs w:val="28"/>
                <w:vertAlign w:val="baseline"/>
                <w:lang w:val="en-US" w:eastAsia="zh-CN"/>
              </w:rPr>
            </w:pPr>
          </w:p>
        </w:tc>
        <w:tc>
          <w:tcPr>
            <w:tcW w:w="1188" w:type="dxa"/>
          </w:tcPr>
          <w:p>
            <w:pPr>
              <w:rPr>
                <w:rFonts w:hint="eastAsia" w:ascii="仿宋_GB2312" w:hAnsi="仿宋_GB2312" w:eastAsia="仿宋_GB2312" w:cs="仿宋_GB2312"/>
                <w:sz w:val="28"/>
                <w:szCs w:val="28"/>
                <w:vertAlign w:val="baseline"/>
                <w:lang w:val="en-US" w:eastAsia="zh-CN"/>
              </w:rPr>
            </w:pPr>
          </w:p>
        </w:tc>
        <w:tc>
          <w:tcPr>
            <w:tcW w:w="1116" w:type="dxa"/>
          </w:tcPr>
          <w:p>
            <w:pPr>
              <w:rPr>
                <w:rFonts w:hint="eastAsia" w:ascii="仿宋_GB2312" w:hAnsi="仿宋_GB2312" w:eastAsia="仿宋_GB2312" w:cs="仿宋_GB2312"/>
                <w:sz w:val="28"/>
                <w:szCs w:val="28"/>
                <w:vertAlign w:val="baseline"/>
                <w:lang w:val="en-US" w:eastAsia="zh-CN"/>
              </w:rPr>
            </w:pPr>
          </w:p>
        </w:tc>
        <w:tc>
          <w:tcPr>
            <w:tcW w:w="1848" w:type="dxa"/>
          </w:tcPr>
          <w:p>
            <w:pPr>
              <w:rPr>
                <w:rFonts w:hint="eastAsia" w:ascii="仿宋_GB2312" w:hAnsi="仿宋_GB2312" w:eastAsia="仿宋_GB2312" w:cs="仿宋_GB2312"/>
                <w:sz w:val="28"/>
                <w:szCs w:val="28"/>
                <w:vertAlign w:val="baseline"/>
                <w:lang w:val="en-US" w:eastAsia="zh-CN"/>
              </w:rPr>
            </w:pPr>
          </w:p>
        </w:tc>
        <w:tc>
          <w:tcPr>
            <w:tcW w:w="1692" w:type="dxa"/>
          </w:tcPr>
          <w:p>
            <w:pPr>
              <w:rPr>
                <w:rFonts w:hint="eastAsia" w:ascii="仿宋_GB2312" w:hAnsi="仿宋_GB2312" w:eastAsia="仿宋_GB2312" w:cs="仿宋_GB2312"/>
                <w:sz w:val="28"/>
                <w:szCs w:val="28"/>
                <w:vertAlign w:val="baseline"/>
                <w:lang w:val="en-US" w:eastAsia="zh-CN"/>
              </w:rPr>
            </w:pPr>
          </w:p>
        </w:tc>
        <w:tc>
          <w:tcPr>
            <w:tcW w:w="1932" w:type="dxa"/>
          </w:tcPr>
          <w:p>
            <w:pPr>
              <w:rPr>
                <w:rFonts w:hint="eastAsia" w:ascii="仿宋_GB2312" w:hAnsi="仿宋_GB2312" w:eastAsia="仿宋_GB2312" w:cs="仿宋_GB2312"/>
                <w:sz w:val="28"/>
                <w:szCs w:val="28"/>
                <w:vertAlign w:val="baseline"/>
                <w:lang w:val="en-US" w:eastAsia="zh-CN"/>
              </w:rPr>
            </w:pPr>
          </w:p>
        </w:tc>
        <w:tc>
          <w:tcPr>
            <w:tcW w:w="1500" w:type="dxa"/>
          </w:tcPr>
          <w:p>
            <w:pPr>
              <w:rPr>
                <w:rFonts w:hint="eastAsia" w:ascii="仿宋_GB2312" w:hAnsi="仿宋_GB2312" w:eastAsia="仿宋_GB2312" w:cs="仿宋_GB2312"/>
                <w:sz w:val="28"/>
                <w:szCs w:val="28"/>
                <w:vertAlign w:val="baseline"/>
                <w:lang w:val="en-US" w:eastAsia="zh-CN"/>
              </w:rPr>
            </w:pPr>
          </w:p>
        </w:tc>
        <w:tc>
          <w:tcPr>
            <w:tcW w:w="1404" w:type="dxa"/>
          </w:tcPr>
          <w:p>
            <w:pPr>
              <w:rPr>
                <w:rFonts w:hint="eastAsia" w:ascii="仿宋_GB2312" w:hAnsi="仿宋_GB2312" w:eastAsia="仿宋_GB2312" w:cs="仿宋_GB2312"/>
                <w:sz w:val="28"/>
                <w:szCs w:val="28"/>
                <w:vertAlign w:val="baseline"/>
                <w:lang w:val="en-US" w:eastAsia="zh-CN"/>
              </w:rPr>
            </w:pPr>
          </w:p>
        </w:tc>
        <w:tc>
          <w:tcPr>
            <w:tcW w:w="1740" w:type="dxa"/>
          </w:tcPr>
          <w:p>
            <w:pPr>
              <w:rPr>
                <w:rFonts w:hint="eastAsia" w:ascii="仿宋_GB2312" w:hAnsi="仿宋_GB2312" w:eastAsia="仿宋_GB2312" w:cs="仿宋_GB2312"/>
                <w:sz w:val="28"/>
                <w:szCs w:val="28"/>
                <w:vertAlign w:val="baseline"/>
                <w:lang w:val="en-US" w:eastAsia="zh-CN"/>
              </w:rPr>
            </w:pPr>
          </w:p>
        </w:tc>
        <w:tc>
          <w:tcPr>
            <w:tcW w:w="1632"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rFonts w:hint="eastAsia" w:ascii="仿宋_GB2312" w:hAnsi="仿宋_GB2312" w:eastAsia="仿宋_GB2312" w:cs="仿宋_GB2312"/>
                <w:sz w:val="28"/>
                <w:szCs w:val="28"/>
                <w:vertAlign w:val="baseline"/>
                <w:lang w:val="en-US" w:eastAsia="zh-CN"/>
              </w:rPr>
            </w:pPr>
          </w:p>
        </w:tc>
        <w:tc>
          <w:tcPr>
            <w:tcW w:w="1188" w:type="dxa"/>
          </w:tcPr>
          <w:p>
            <w:pPr>
              <w:rPr>
                <w:rFonts w:hint="eastAsia" w:ascii="仿宋_GB2312" w:hAnsi="仿宋_GB2312" w:eastAsia="仿宋_GB2312" w:cs="仿宋_GB2312"/>
                <w:sz w:val="28"/>
                <w:szCs w:val="28"/>
                <w:vertAlign w:val="baseline"/>
                <w:lang w:val="en-US" w:eastAsia="zh-CN"/>
              </w:rPr>
            </w:pPr>
          </w:p>
        </w:tc>
        <w:tc>
          <w:tcPr>
            <w:tcW w:w="1116" w:type="dxa"/>
          </w:tcPr>
          <w:p>
            <w:pPr>
              <w:rPr>
                <w:rFonts w:hint="eastAsia" w:ascii="仿宋_GB2312" w:hAnsi="仿宋_GB2312" w:eastAsia="仿宋_GB2312" w:cs="仿宋_GB2312"/>
                <w:sz w:val="28"/>
                <w:szCs w:val="28"/>
                <w:vertAlign w:val="baseline"/>
                <w:lang w:val="en-US" w:eastAsia="zh-CN"/>
              </w:rPr>
            </w:pPr>
          </w:p>
        </w:tc>
        <w:tc>
          <w:tcPr>
            <w:tcW w:w="1848" w:type="dxa"/>
          </w:tcPr>
          <w:p>
            <w:pPr>
              <w:rPr>
                <w:rFonts w:hint="eastAsia" w:ascii="仿宋_GB2312" w:hAnsi="仿宋_GB2312" w:eastAsia="仿宋_GB2312" w:cs="仿宋_GB2312"/>
                <w:sz w:val="28"/>
                <w:szCs w:val="28"/>
                <w:vertAlign w:val="baseline"/>
                <w:lang w:val="en-US" w:eastAsia="zh-CN"/>
              </w:rPr>
            </w:pPr>
          </w:p>
        </w:tc>
        <w:tc>
          <w:tcPr>
            <w:tcW w:w="1692" w:type="dxa"/>
          </w:tcPr>
          <w:p>
            <w:pPr>
              <w:rPr>
                <w:rFonts w:hint="eastAsia" w:ascii="仿宋_GB2312" w:hAnsi="仿宋_GB2312" w:eastAsia="仿宋_GB2312" w:cs="仿宋_GB2312"/>
                <w:sz w:val="28"/>
                <w:szCs w:val="28"/>
                <w:vertAlign w:val="baseline"/>
                <w:lang w:val="en-US" w:eastAsia="zh-CN"/>
              </w:rPr>
            </w:pPr>
          </w:p>
        </w:tc>
        <w:tc>
          <w:tcPr>
            <w:tcW w:w="1932" w:type="dxa"/>
          </w:tcPr>
          <w:p>
            <w:pPr>
              <w:rPr>
                <w:rFonts w:hint="eastAsia" w:ascii="仿宋_GB2312" w:hAnsi="仿宋_GB2312" w:eastAsia="仿宋_GB2312" w:cs="仿宋_GB2312"/>
                <w:sz w:val="28"/>
                <w:szCs w:val="28"/>
                <w:vertAlign w:val="baseline"/>
                <w:lang w:val="en-US" w:eastAsia="zh-CN"/>
              </w:rPr>
            </w:pPr>
          </w:p>
        </w:tc>
        <w:tc>
          <w:tcPr>
            <w:tcW w:w="1500" w:type="dxa"/>
          </w:tcPr>
          <w:p>
            <w:pPr>
              <w:rPr>
                <w:rFonts w:hint="eastAsia" w:ascii="仿宋_GB2312" w:hAnsi="仿宋_GB2312" w:eastAsia="仿宋_GB2312" w:cs="仿宋_GB2312"/>
                <w:sz w:val="28"/>
                <w:szCs w:val="28"/>
                <w:vertAlign w:val="baseline"/>
                <w:lang w:val="en-US" w:eastAsia="zh-CN"/>
              </w:rPr>
            </w:pPr>
          </w:p>
        </w:tc>
        <w:tc>
          <w:tcPr>
            <w:tcW w:w="1404" w:type="dxa"/>
          </w:tcPr>
          <w:p>
            <w:pPr>
              <w:rPr>
                <w:rFonts w:hint="eastAsia" w:ascii="仿宋_GB2312" w:hAnsi="仿宋_GB2312" w:eastAsia="仿宋_GB2312" w:cs="仿宋_GB2312"/>
                <w:sz w:val="28"/>
                <w:szCs w:val="28"/>
                <w:vertAlign w:val="baseline"/>
                <w:lang w:val="en-US" w:eastAsia="zh-CN"/>
              </w:rPr>
            </w:pPr>
          </w:p>
        </w:tc>
        <w:tc>
          <w:tcPr>
            <w:tcW w:w="1740" w:type="dxa"/>
          </w:tcPr>
          <w:p>
            <w:pPr>
              <w:rPr>
                <w:rFonts w:hint="eastAsia" w:ascii="仿宋_GB2312" w:hAnsi="仿宋_GB2312" w:eastAsia="仿宋_GB2312" w:cs="仿宋_GB2312"/>
                <w:sz w:val="28"/>
                <w:szCs w:val="28"/>
                <w:vertAlign w:val="baseline"/>
                <w:lang w:val="en-US" w:eastAsia="zh-CN"/>
              </w:rPr>
            </w:pPr>
          </w:p>
        </w:tc>
        <w:tc>
          <w:tcPr>
            <w:tcW w:w="1632"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rFonts w:hint="eastAsia" w:ascii="仿宋_GB2312" w:hAnsi="仿宋_GB2312" w:eastAsia="仿宋_GB2312" w:cs="仿宋_GB2312"/>
                <w:sz w:val="28"/>
                <w:szCs w:val="28"/>
                <w:vertAlign w:val="baseline"/>
                <w:lang w:val="en-US" w:eastAsia="zh-CN"/>
              </w:rPr>
            </w:pPr>
          </w:p>
        </w:tc>
        <w:tc>
          <w:tcPr>
            <w:tcW w:w="1188" w:type="dxa"/>
          </w:tcPr>
          <w:p>
            <w:pPr>
              <w:rPr>
                <w:rFonts w:hint="eastAsia" w:ascii="仿宋_GB2312" w:hAnsi="仿宋_GB2312" w:eastAsia="仿宋_GB2312" w:cs="仿宋_GB2312"/>
                <w:sz w:val="28"/>
                <w:szCs w:val="28"/>
                <w:vertAlign w:val="baseline"/>
                <w:lang w:val="en-US" w:eastAsia="zh-CN"/>
              </w:rPr>
            </w:pPr>
          </w:p>
        </w:tc>
        <w:tc>
          <w:tcPr>
            <w:tcW w:w="1116" w:type="dxa"/>
          </w:tcPr>
          <w:p>
            <w:pPr>
              <w:rPr>
                <w:rFonts w:hint="eastAsia" w:ascii="仿宋_GB2312" w:hAnsi="仿宋_GB2312" w:eastAsia="仿宋_GB2312" w:cs="仿宋_GB2312"/>
                <w:sz w:val="28"/>
                <w:szCs w:val="28"/>
                <w:vertAlign w:val="baseline"/>
                <w:lang w:val="en-US" w:eastAsia="zh-CN"/>
              </w:rPr>
            </w:pPr>
          </w:p>
        </w:tc>
        <w:tc>
          <w:tcPr>
            <w:tcW w:w="1848" w:type="dxa"/>
          </w:tcPr>
          <w:p>
            <w:pPr>
              <w:rPr>
                <w:rFonts w:hint="eastAsia" w:ascii="仿宋_GB2312" w:hAnsi="仿宋_GB2312" w:eastAsia="仿宋_GB2312" w:cs="仿宋_GB2312"/>
                <w:sz w:val="28"/>
                <w:szCs w:val="28"/>
                <w:vertAlign w:val="baseline"/>
                <w:lang w:val="en-US" w:eastAsia="zh-CN"/>
              </w:rPr>
            </w:pPr>
          </w:p>
        </w:tc>
        <w:tc>
          <w:tcPr>
            <w:tcW w:w="1692" w:type="dxa"/>
          </w:tcPr>
          <w:p>
            <w:pPr>
              <w:rPr>
                <w:rFonts w:hint="eastAsia" w:ascii="仿宋_GB2312" w:hAnsi="仿宋_GB2312" w:eastAsia="仿宋_GB2312" w:cs="仿宋_GB2312"/>
                <w:sz w:val="28"/>
                <w:szCs w:val="28"/>
                <w:vertAlign w:val="baseline"/>
                <w:lang w:val="en-US" w:eastAsia="zh-CN"/>
              </w:rPr>
            </w:pPr>
          </w:p>
        </w:tc>
        <w:tc>
          <w:tcPr>
            <w:tcW w:w="1932" w:type="dxa"/>
          </w:tcPr>
          <w:p>
            <w:pPr>
              <w:rPr>
                <w:rFonts w:hint="eastAsia" w:ascii="仿宋_GB2312" w:hAnsi="仿宋_GB2312" w:eastAsia="仿宋_GB2312" w:cs="仿宋_GB2312"/>
                <w:sz w:val="28"/>
                <w:szCs w:val="28"/>
                <w:vertAlign w:val="baseline"/>
                <w:lang w:val="en-US" w:eastAsia="zh-CN"/>
              </w:rPr>
            </w:pPr>
          </w:p>
        </w:tc>
        <w:tc>
          <w:tcPr>
            <w:tcW w:w="1500" w:type="dxa"/>
          </w:tcPr>
          <w:p>
            <w:pPr>
              <w:rPr>
                <w:rFonts w:hint="eastAsia" w:ascii="仿宋_GB2312" w:hAnsi="仿宋_GB2312" w:eastAsia="仿宋_GB2312" w:cs="仿宋_GB2312"/>
                <w:sz w:val="28"/>
                <w:szCs w:val="28"/>
                <w:vertAlign w:val="baseline"/>
                <w:lang w:val="en-US" w:eastAsia="zh-CN"/>
              </w:rPr>
            </w:pPr>
          </w:p>
        </w:tc>
        <w:tc>
          <w:tcPr>
            <w:tcW w:w="1404" w:type="dxa"/>
          </w:tcPr>
          <w:p>
            <w:pPr>
              <w:rPr>
                <w:rFonts w:hint="eastAsia" w:ascii="仿宋_GB2312" w:hAnsi="仿宋_GB2312" w:eastAsia="仿宋_GB2312" w:cs="仿宋_GB2312"/>
                <w:sz w:val="28"/>
                <w:szCs w:val="28"/>
                <w:vertAlign w:val="baseline"/>
                <w:lang w:val="en-US" w:eastAsia="zh-CN"/>
              </w:rPr>
            </w:pPr>
          </w:p>
        </w:tc>
        <w:tc>
          <w:tcPr>
            <w:tcW w:w="1740" w:type="dxa"/>
          </w:tcPr>
          <w:p>
            <w:pPr>
              <w:rPr>
                <w:rFonts w:hint="eastAsia" w:ascii="仿宋_GB2312" w:hAnsi="仿宋_GB2312" w:eastAsia="仿宋_GB2312" w:cs="仿宋_GB2312"/>
                <w:sz w:val="28"/>
                <w:szCs w:val="28"/>
                <w:vertAlign w:val="baseline"/>
                <w:lang w:val="en-US" w:eastAsia="zh-CN"/>
              </w:rPr>
            </w:pPr>
          </w:p>
        </w:tc>
        <w:tc>
          <w:tcPr>
            <w:tcW w:w="1632" w:type="dxa"/>
          </w:tcPr>
          <w:p>
            <w:pPr>
              <w:rPr>
                <w:rFonts w:hint="eastAsia" w:ascii="仿宋_GB2312" w:hAnsi="仿宋_GB2312" w:eastAsia="仿宋_GB2312" w:cs="仿宋_GB2312"/>
                <w:sz w:val="28"/>
                <w:szCs w:val="28"/>
                <w:vertAlign w:val="baseline"/>
                <w:lang w:val="en-US" w:eastAsia="zh-CN"/>
              </w:rPr>
            </w:pPr>
          </w:p>
        </w:tc>
      </w:tr>
    </w:tbl>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摸查范围：2016-2018年省体育局配建的健身路径（包括2016年与2018年省体育局采购健身路径直接配建，也包括2016-2017年省体育局下拨资金由各地市自行采购的健身路径器材）。</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rPr>
          <w:rFonts w:hint="eastAsia" w:ascii="黑体" w:eastAsia="黑体"/>
          <w:sz w:val="32"/>
          <w:szCs w:val="32"/>
        </w:rPr>
      </w:pPr>
      <w:r>
        <w:rPr>
          <w:rFonts w:hint="eastAsia" w:ascii="黑体" w:eastAsia="黑体"/>
          <w:sz w:val="32"/>
          <w:szCs w:val="32"/>
        </w:rPr>
        <w:t>公开方式：</w:t>
      </w:r>
      <w:r>
        <w:rPr>
          <w:rFonts w:hint="eastAsia" w:ascii="黑体" w:eastAsia="黑体"/>
          <w:sz w:val="32"/>
          <w:szCs w:val="32"/>
          <w:lang w:eastAsia="zh-CN"/>
        </w:rPr>
        <w:t>主动</w:t>
      </w:r>
      <w:r>
        <w:rPr>
          <w:rFonts w:hint="eastAsia" w:ascii="黑体" w:eastAsia="黑体"/>
          <w:sz w:val="32"/>
          <w:szCs w:val="32"/>
        </w:rPr>
        <w:t>公开</w:t>
      </w:r>
    </w:p>
    <w:p>
      <w:pPr>
        <w:snapToGrid w:val="0"/>
        <w:spacing w:line="360" w:lineRule="auto"/>
        <w:rPr>
          <w:rFonts w:hint="eastAsia" w:ascii="黑体" w:eastAsia="黑体"/>
          <w:sz w:val="32"/>
          <w:szCs w:val="32"/>
        </w:rPr>
      </w:pPr>
    </w:p>
    <w:p>
      <w:pPr>
        <w:snapToGrid w:val="0"/>
        <w:spacing w:line="24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29210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3pt;height:0pt;width:414pt;z-index:251664384;mso-width-relative:page;mso-height-relative:page;" filled="f" stroked="t" coordsize="21600,21600" o:gfxdata="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JV8obTAAAABAEAAA8AAAAAAAAAAQAg&#10;AAAAIgAAAGRycy9kb3ducmV2LnhtbFBLAQIUABQAAAAIAIdO4kBN65UH2gEAAJcDAAAOAAAAAAAA&#10;AAEAIAAAACIBAABkcnMvZTJvRG9jLnhtbFBLBQYAAAAABgAGAFkBAABuBQAAAAA=&#10;">
                <v:fill on="f" focussize="0,0"/>
                <v:stroke weight="1pt" color="#000000" joinstyle="round"/>
                <v:imagedata o:title=""/>
                <o:lock v:ext="edit" aspectratio="f"/>
              </v:line>
            </w:pict>
          </mc:Fallback>
        </mc:AlternateContent>
      </w:r>
    </w:p>
    <w:p>
      <w:pPr>
        <w:snapToGrid w:val="0"/>
        <w:spacing w:line="360" w:lineRule="auto"/>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291465</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95pt;height:0pt;width:414pt;z-index:251665408;mso-width-relative:page;mso-height-relative:page;" filled="f" stroked="t" coordsize="21600,21600" o:gfxdata="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sOf51QAAAAYBAAAPAAAAAAAAAAEA&#10;IAAAACIAAABkcnMvZG93bnJldi54bWxQSwECFAAUAAAACACHTuJA8btMHdkBAACXAwAADgAAAAAA&#10;AAABACAAAAAkAQAAZHJzL2Uyb0RvYy54bWxQSwUGAAAAAAYABgBZAQAAbwUAAAAA&#10;">
                <v:fill on="f" focussize="0,0"/>
                <v:stroke weight="1pt"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hAnsi="仿宋_GB2312" w:eastAsia="仿宋_GB2312" w:cs="仿宋_GB2312"/>
          <w:spacing w:val="0"/>
          <w:sz w:val="28"/>
          <w:szCs w:val="28"/>
          <w:lang w:val="en-US" w:eastAsia="zh-CN"/>
        </w:rPr>
        <w:t>广东省体育场馆器材设备中心</w:t>
      </w:r>
    </w:p>
    <w:p>
      <w:pPr>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4768850</wp:posOffset>
                </wp:positionH>
                <wp:positionV relativeFrom="paragraph">
                  <wp:posOffset>600710</wp:posOffset>
                </wp:positionV>
                <wp:extent cx="648970" cy="382270"/>
                <wp:effectExtent l="0" t="0" r="7620" b="8890"/>
                <wp:wrapNone/>
                <wp:docPr id="4" name="矩形 4"/>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5.5pt;margin-top:47.3pt;height:30.1pt;width:51.1pt;z-index:251668480;mso-width-relative:page;mso-height-relative:page;" fillcolor="#FFFFFF" filled="t" stroked="f" coordsize="21600,21600" o:gfxdata="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&#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9WQ4u2AAAAAoBAAAPAAAAAAAAAAEAIAAAACIAAABk&#10;cnMvZG93bnJldi54bWxQSwECFAAUAAAACACHTuJAPnuZfZQBAAAQAwAADgAAAAAAAAABACAAAAAn&#10;AQAAZHJzL2Uyb0RvYy54bWxQSwUGAAAAAAYABgBZAQAALQUAAAAA&#10;">
                <v:fill on="t" focussize="0,0"/>
                <v:stroke on="f"/>
                <v:imagedata o:title=""/>
                <o:lock v:ext="edit" aspectratio="f"/>
              </v:rect>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323215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45pt;height:0pt;width:414pt;z-index:251663360;mso-width-relative:page;mso-height-relative:page;" filled="f" stroked="t" coordsize="21600,21600" o:gfxdata="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JfnC7UAAAABgEAAA8AAAAAAAAAAQAg&#10;AAAAIgAAAGRycy9kb3ducmV2LnhtbFBLAQIUABQAAAAIAIdO4kDmJvK42QEAAJcDAAAOAAAAAAAA&#10;AAEAIAAAACMBAABkcnMvZTJvRG9jLnhtbFBLBQYAAAAABgAGAFkBAABuBQ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广 东 省 体 育 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日印发</w:t>
      </w:r>
    </w:p>
    <w:sectPr>
      <w:footerReference r:id="rId3" w:type="default"/>
      <w:pgSz w:w="11906" w:h="16838"/>
      <w:pgMar w:top="1440" w:right="1803" w:bottom="1440" w:left="1803" w:header="851" w:footer="850"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67D8FB"/>
    <w:multiLevelType w:val="singleLevel"/>
    <w:tmpl w:val="E167D8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98lH6MtlFe8J4TjO+8Xz3mN9uN4=" w:salt="E0OkEIt7kk2ydBfbdfpEag=="/>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A5736"/>
    <w:rsid w:val="013128DD"/>
    <w:rsid w:val="01932B95"/>
    <w:rsid w:val="023E4369"/>
    <w:rsid w:val="03AC27C8"/>
    <w:rsid w:val="03ED7E3C"/>
    <w:rsid w:val="04E700DB"/>
    <w:rsid w:val="0517228C"/>
    <w:rsid w:val="05B556D3"/>
    <w:rsid w:val="06BD692B"/>
    <w:rsid w:val="08CC5390"/>
    <w:rsid w:val="0969238B"/>
    <w:rsid w:val="0A1951F8"/>
    <w:rsid w:val="0AFA617E"/>
    <w:rsid w:val="0C0D3EAF"/>
    <w:rsid w:val="0DB63EF8"/>
    <w:rsid w:val="0E807C72"/>
    <w:rsid w:val="0E96164D"/>
    <w:rsid w:val="0EA217C9"/>
    <w:rsid w:val="0F385D2B"/>
    <w:rsid w:val="0F4F52A5"/>
    <w:rsid w:val="114211AE"/>
    <w:rsid w:val="116213C1"/>
    <w:rsid w:val="1320587C"/>
    <w:rsid w:val="136F0225"/>
    <w:rsid w:val="13CE0EBD"/>
    <w:rsid w:val="14580934"/>
    <w:rsid w:val="14D04015"/>
    <w:rsid w:val="15DE0DD3"/>
    <w:rsid w:val="171A0A2C"/>
    <w:rsid w:val="185523D2"/>
    <w:rsid w:val="1A6E1449"/>
    <w:rsid w:val="1AF82198"/>
    <w:rsid w:val="1D174E8A"/>
    <w:rsid w:val="1D430518"/>
    <w:rsid w:val="1DD50660"/>
    <w:rsid w:val="1EAF7CE8"/>
    <w:rsid w:val="1EDA5736"/>
    <w:rsid w:val="1EF347B9"/>
    <w:rsid w:val="1FC26E01"/>
    <w:rsid w:val="205B160C"/>
    <w:rsid w:val="20B67DAA"/>
    <w:rsid w:val="21042664"/>
    <w:rsid w:val="21881C2B"/>
    <w:rsid w:val="225D573A"/>
    <w:rsid w:val="239D71CF"/>
    <w:rsid w:val="24CD74D9"/>
    <w:rsid w:val="260325AD"/>
    <w:rsid w:val="261B0BCF"/>
    <w:rsid w:val="266C3381"/>
    <w:rsid w:val="26B12EB8"/>
    <w:rsid w:val="28002CDD"/>
    <w:rsid w:val="296A2436"/>
    <w:rsid w:val="29DD6808"/>
    <w:rsid w:val="2AA0686B"/>
    <w:rsid w:val="2B605188"/>
    <w:rsid w:val="2B9C220F"/>
    <w:rsid w:val="2BC12E08"/>
    <w:rsid w:val="2BDC565E"/>
    <w:rsid w:val="2D9C6AE5"/>
    <w:rsid w:val="2DE25AA3"/>
    <w:rsid w:val="2E1E4613"/>
    <w:rsid w:val="2E7E20B1"/>
    <w:rsid w:val="2E92188E"/>
    <w:rsid w:val="2F45525D"/>
    <w:rsid w:val="2FD358E8"/>
    <w:rsid w:val="303A6A4B"/>
    <w:rsid w:val="30F266E8"/>
    <w:rsid w:val="31535443"/>
    <w:rsid w:val="31C22E65"/>
    <w:rsid w:val="32210A72"/>
    <w:rsid w:val="326927CB"/>
    <w:rsid w:val="328302D6"/>
    <w:rsid w:val="32A54607"/>
    <w:rsid w:val="35832152"/>
    <w:rsid w:val="376C6124"/>
    <w:rsid w:val="37B94B30"/>
    <w:rsid w:val="3A037CA5"/>
    <w:rsid w:val="3C376161"/>
    <w:rsid w:val="3C396DC1"/>
    <w:rsid w:val="3C4766FD"/>
    <w:rsid w:val="3D39552E"/>
    <w:rsid w:val="3DE23D10"/>
    <w:rsid w:val="3E3855F4"/>
    <w:rsid w:val="3ECD1CCF"/>
    <w:rsid w:val="3EFA49CC"/>
    <w:rsid w:val="40091C46"/>
    <w:rsid w:val="41131B05"/>
    <w:rsid w:val="419D1671"/>
    <w:rsid w:val="42D811C6"/>
    <w:rsid w:val="431E2522"/>
    <w:rsid w:val="43A73912"/>
    <w:rsid w:val="44337A2C"/>
    <w:rsid w:val="45382FF3"/>
    <w:rsid w:val="45A83C24"/>
    <w:rsid w:val="46DA2D47"/>
    <w:rsid w:val="473F5ADD"/>
    <w:rsid w:val="486E3815"/>
    <w:rsid w:val="487E0CD9"/>
    <w:rsid w:val="48A67BA7"/>
    <w:rsid w:val="49DD2C78"/>
    <w:rsid w:val="49E761D1"/>
    <w:rsid w:val="4B4E3265"/>
    <w:rsid w:val="4B985DA7"/>
    <w:rsid w:val="4CE57923"/>
    <w:rsid w:val="4D5B0C85"/>
    <w:rsid w:val="4E3F661A"/>
    <w:rsid w:val="4F91019C"/>
    <w:rsid w:val="50BE0FFB"/>
    <w:rsid w:val="50D03027"/>
    <w:rsid w:val="51735A04"/>
    <w:rsid w:val="52707C0E"/>
    <w:rsid w:val="529C6E22"/>
    <w:rsid w:val="52E66083"/>
    <w:rsid w:val="52F94BD9"/>
    <w:rsid w:val="56C41D13"/>
    <w:rsid w:val="590F74A8"/>
    <w:rsid w:val="5AEF6AB4"/>
    <w:rsid w:val="5B0E23D4"/>
    <w:rsid w:val="5C39450E"/>
    <w:rsid w:val="5C8A28B5"/>
    <w:rsid w:val="5CE53758"/>
    <w:rsid w:val="5D2C48DE"/>
    <w:rsid w:val="5D3E5CCE"/>
    <w:rsid w:val="5F251A07"/>
    <w:rsid w:val="61C73027"/>
    <w:rsid w:val="624F4768"/>
    <w:rsid w:val="62EE4543"/>
    <w:rsid w:val="62F6561B"/>
    <w:rsid w:val="64122645"/>
    <w:rsid w:val="642A3F82"/>
    <w:rsid w:val="649E769A"/>
    <w:rsid w:val="650B2873"/>
    <w:rsid w:val="653E6EC8"/>
    <w:rsid w:val="657E272A"/>
    <w:rsid w:val="65CA6E93"/>
    <w:rsid w:val="67334406"/>
    <w:rsid w:val="677C3520"/>
    <w:rsid w:val="6BD14BFD"/>
    <w:rsid w:val="6DCB24F0"/>
    <w:rsid w:val="6DCD2374"/>
    <w:rsid w:val="6E355A1A"/>
    <w:rsid w:val="6F964C44"/>
    <w:rsid w:val="70783ED0"/>
    <w:rsid w:val="725A6DB9"/>
    <w:rsid w:val="725C56CA"/>
    <w:rsid w:val="742B766F"/>
    <w:rsid w:val="749D3FC0"/>
    <w:rsid w:val="74B768FE"/>
    <w:rsid w:val="74C74FF0"/>
    <w:rsid w:val="76511F44"/>
    <w:rsid w:val="76E66445"/>
    <w:rsid w:val="775026DE"/>
    <w:rsid w:val="79231B63"/>
    <w:rsid w:val="7A500835"/>
    <w:rsid w:val="7A5A16A5"/>
    <w:rsid w:val="7AC66AC4"/>
    <w:rsid w:val="7AE8330B"/>
    <w:rsid w:val="7B54403E"/>
    <w:rsid w:val="7CB8230E"/>
    <w:rsid w:val="7CCC527D"/>
    <w:rsid w:val="7D072E22"/>
    <w:rsid w:val="7D682839"/>
    <w:rsid w:val="7E1B5272"/>
    <w:rsid w:val="7E245C3C"/>
    <w:rsid w:val="7E2738C0"/>
    <w:rsid w:val="7E3546C7"/>
    <w:rsid w:val="7E522712"/>
    <w:rsid w:val="7EE01DAD"/>
    <w:rsid w:val="7F572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2019-05-08T07:22:00Z</dcterms:created>
  <dc:creator>hp</dc:creator>
  <cp:lastModifiedBy>Administrator</cp:lastModifiedBy>
  <cp:lastPrinted>2019-05-20T07:11:00Z</cp:lastPrinted>
  <dcterms:modified xsi:type="dcterms:W3CDTF">2019-05-21T00:44:12Z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y fmtid="{D5CDD505-2E9C-101B-9397-08002B2CF9AE}" pid="4" name="printid">
    <vt:lpwstr>DB34EF92FBC24B609C78EBC69FC14C0D</vt:lpwstr>
  </property>
  <property fmtid="{D5CDD505-2E9C-101B-9397-08002B2CF9AE}" pid="5" name="docranid">
    <vt:lpwstr>autosoft</vt:lpwstr>
  </property>
  <property fmtid="{D5CDD505-2E9C-101B-9397-08002B2CF9AE}" pid="6" name="newsealcount">
    <vt:i4>1</vt:i4>
  </property>
  <property fmtid="{D5CDD505-2E9C-101B-9397-08002B2CF9AE}" pid="7" name="HasSaved">
    <vt:bool>true</vt:bool>
  </property>
  <property fmtid="{D5CDD505-2E9C-101B-9397-08002B2CF9AE}" pid="8" name="tp">
    <vt:lpwstr>7055475</vt:lpwstr>
  </property>
</Properties>
</file>