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仿宋_GB2312" w:hAnsi="华文中宋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387985</wp:posOffset>
                </wp:positionV>
                <wp:extent cx="4699000" cy="1270000"/>
                <wp:effectExtent l="0" t="0" r="8890" b="12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55"/>
                                <w:sz w:val="13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3300"/>
                                <w:w w:val="55"/>
                                <w:sz w:val="132"/>
                              </w:rPr>
                              <w:t>广东省体育局文件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0.55pt;height:100pt;width:370pt;mso-position-horizontal:center;z-index:251662336;mso-width-relative:page;mso-height-relative:page;" fillcolor="#FFFFFF" filled="t" stroked="f" coordsize="21600,21600" o:gfxdata="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m8bJtQAAAAHAQAADwAAAAAAAAAB&#10;ACAAAAAiAAAAZHJzL2Rvd25yZXYueG1sUEsBAhQAFAAAAAgAh07iQAeqG7gUAgAA/wMAAA4AAAAA&#10;AAAAAQAgAAAAIwEAAGRycy9lMm9Eb2MueG1sUEsFBgAAAAAGAAYAWQEAAK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55"/>
                          <w:sz w:val="13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3300"/>
                          <w:w w:val="55"/>
                          <w:sz w:val="132"/>
                        </w:rPr>
                        <w:t>广东省体育局文件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2411095</wp:posOffset>
                </wp:positionV>
                <wp:extent cx="5562600" cy="0"/>
                <wp:effectExtent l="0" t="7620" r="1143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33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89.85pt;height:0pt;width:438pt;mso-position-horizontal:center;z-index:251661312;mso-width-relative:page;mso-height-relative:page;" filled="f" stroked="t" coordsize="21600,21600" o:gfxdata="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pNj071QAAAAgBAAAPAAAAAAAAAAEAIAAAACIAAABk&#10;cnMvZG93bnJldi54bWxQSwECFAAUAAAACACHTuJA2xupw9ABAABrAwAADgAAAAAAAAABACAAAAAk&#10;AQAAZHJzL2Uyb0RvYy54bWxQSwUGAAAAAAYABgBZAQAAZgUAAAAA&#10;">
                <v:fill on="f" focussize="0,0"/>
                <v:stroke weight="1.25pt" color="#FF33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粤体群〔2019〕200号</w:t>
      </w:r>
    </w:p>
    <w:p>
      <w:pPr>
        <w:snapToGrid w:val="0"/>
        <w:spacing w:line="360" w:lineRule="auto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rFonts w:hint="eastAsia"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关于印发《广东省各等级社会体育指导员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技术培训规范》（第一批项目）的通知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各地级以上市体育行政部门：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贯彻落实《广东省全民健身条例》，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规范我省各等级社会体育指导员技术培训工作，不断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社会体育指导员健身技能水平和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指导能力，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更好地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满足社会体育指导员开展上岗服务需要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《广东省社会体育指导员技术等级培训规范》（第一批项目）印发给你们，请遵照执行。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598" w:leftChars="304" w:hanging="96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附件：广东省各等级社会体育指导员技术培训规范（第一批项目）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sz w:val="32"/>
        </w:rPr>
        <w:pict>
          <v:shape id="_x0000_s1026" o:spid="_x0000_s1026" o:spt="201" type="#_x0000_t201" style="position:absolute;left:0pt;margin-left:252.05pt;margin-top:-67.7pt;height:134pt;width:135pt;z-index:-25164288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6"/>
        </w:pic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广东省体育局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rFonts w:hint="eastAsia"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广东省各等级社会体育指导员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技术培训规范（第一批项目）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4" w:firstLineChars="3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范我省各等级社会体育指导员技术培训工作，不断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社会体育指导员健身技能水平和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指导能力，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更好地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满足社会体育指导员开展上岗服务需要，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根据《全民健身条例》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《广东省全民健身条例》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《社会体育指导员管理办法》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等法律法规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，结合我省实际，特制定本规范。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一、规范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操舞类、柔力球、健身气功、太极拳、足球、篮球、排球、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气排球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、羽毛球、乒乓球、网球。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规范事项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（一）三级培训规范事项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1、师资规范事项：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区）从事三级社会体育指导员理论及项目技术培训教学工作的人员，须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具有高等院校讲师职称或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取得一级社会体育指导员称号、中学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二级体育教师、初级教练员职称，并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取得省社会体育员师资培训合格证书，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熟悉和了解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三级社会体育指导员培训教学内容。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2、理论培训规范事项：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培训内容为社会体育指导员概述、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社会体育指导方法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身体素质锻炼基础、常见运动损伤与防治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3、培训时数规范事项：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培训理论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项目技术培训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自学时数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（每学时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4、培训考核规范事项：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培训考核分为理论知识考试和项目技术考核，其中理论知识考试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卷笔试，项目技术考核为动作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。理论知识考试和项目技术考核均采用百分制，理论知识考试占40%，项目技术考核占60%，总分达到60分以上为合格。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5、发证规范事项：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区）级体育行政部门及其委托的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指导员协会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社会体育指导员等级称号申请表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》以及社会体育指导员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信息管理系统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，授予三级社会体育指导员技术等级称号，颁发三级社会体育指导员技术等级证书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项目技术培训规范事项：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操舞类（包含广场舞、健身操、啦啦操、排舞、体育舞蹈）：培训一套相应项目的国家推广套路。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柔力球：培训一套柔力球国家推广套路。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健身气功：培训两套国家推广功法。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太极拳：培训24式简化太极拳。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足球：培训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原地脚底交换踩球、行进间脚底交换踩球、原地脚内侧踢地滚球、原地脚内侧停球、脚背外侧运球、原地头顶球的规范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技术动作。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篮球：培训运球、传接球、行进间上篮、原地单手肩上投篮技术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动作和个人防守技术。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排球：培训双手上手传球、双手下手垫球技术动作，以及接、发球的准备姿势、移动步法。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气排球：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传球、垫球、托球、捧球、捞球、扣球、上手发球、移动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动作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羽毛球：培训羽毛球竞赛规则，握拍方法和击球前的准备姿势，以及发球和放网前球、挑后场球技术动作。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乒乓球：培训握拍方法、准备姿势、发球、接发球、正手攻球、反手推挡技术动作。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网球：培训握拍和基本移动步法、底线正反手击球、发球技术动作。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（二）二级培训规范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1、师资规范事项：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市从事二级社会体育指导员理论及项目技术培训教学工作的人员，须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具有高等院校讲师职称或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取得国家级社会体育指导员称号、中学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一级体育教师、中级教练员职称，并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取得省社会体育员师资培训合格证书，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熟悉和了解二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级社会体育指导员培训教学内容。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2、理论培训规范事项：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培训内容为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社会体育指导员服务工作指引，健身手段与方法、体育健身方案的制定与实施、运动锻炼的合理膳食要求、降低体脂的合理运动与膳食营养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3、培训时数规范事项：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培训理论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项目技术培训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自学时数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（每学时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4、培训考核规范事项：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培训考核分为理论知识考试和项目技术考核，其中理论知识考试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卷笔试，项目技术考核为动作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演示及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动作指导。理论知识考试和项目技术考核均采用百分制，理论知识考试占40%，项目技术考核占60%，总分达到60分以上为合格。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5、发证规范事项：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培训合格者提交以下资料：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证书；《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社会体育指导员等级称号申请表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》；取得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三级社会体育指导员技术等级证书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2年以上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高等体育院校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体育专业学历、体育教师、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职业社会体育指导员、教练员和优秀运动员资质证书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；经审核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，由地市级体育行政部门及其委托的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指导员协会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授予二级社会体育指导员技术等级称号，颁发二级社会体育指导员技术等级证书。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、项目技术培训规范事项：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操舞类（广场舞、健身操、啦啦操、排舞、体育舞蹈）：在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三级项目技术培训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基础上，再培训一套相应项目的国家推广套路。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柔力球：在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三级项目技术培训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基础上，再培训一套柔力球国家推广套路。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健身气功：在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三级项目技术培训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基础上，再培训两套国家推广功法。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太极拳：在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三级项目技术培训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基础上，再培训42式太极拳。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足球：在三级项目技术培训基础上，培训足球竞赛规则和运球、传接球、射门、抢截球、头顶球技术动作，以及一对一、二对二、三对二攻守和两人、三人跑动中的传接球配合。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篮球：在三级项目技术培训基础上，培训篮球竞赛规则和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两人制和三人制裁判法，以及各种运球、传接球、持球突破、防守、投篮技术动作。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排球：在三级项目技术培训基础上，培训排球竞赛规则和对传、对垫、发球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技术动作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，以及正面屈体扣球和拦网技术动作。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气排球：在三级项目技术培训基础上，培训《气排球规则》、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发球、勾手大力发球和托、捧、垫球在一传中运用的技巧，以及二传3号位分配传球，2、3、4号位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扣球，单人和集体拦网等技术。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羽毛球：在三级项目技术培训基础上，培训羽毛球竞赛规则和上网步法、中场移动步法、后场步法，以及中场平抽挡和击打高远球技术动作。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乒乓球：在三级项目技术培训基础上，培训乒乓球竞赛规则和正反手搓球，以及结合步法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正手攻球、反手推挡、左推右攻技术动作。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网球：在三级项目技术培训基础上，培训网球单双打比赛规则和底线技术基础上的网前正反手截击、高压球技术，以及网球技术动作的训练方法、手段。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一级培训规范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1、师资规范事项：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在省级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事一级社会体育指导员理论及项目技术培训教学工作的人员，须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具有高等院校副教授职称或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高级体育教师、中级教练员职称，并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取得省社会体育员师资培训合格证书，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熟悉和了解一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级社会体育指导员培训教学内容。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2、理论培训规范事项：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社会体育工作的规划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社会体育活动的组织与开展、社会体育指导中的安全管理、常见慢性病运动疗法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3、培训时数规范事项：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培训理论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项目技术培训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自学时数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（每学时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4、培训考核规范事项：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培训考核分为理论知识考试和项目技术考核，其中理论知识考试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卷笔试，项目技术考核为动作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演示及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动作指导。理论知识考试和项目技术考核均采用百分制，理论知识考试占40%，项目技术考核占60%，总分达到60分以上为合格。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5、发证规范事项：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培训合格者提交以下资料：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证书；《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社会体育指导员等级称号申请表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》；取得二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级社会体育指导员技术等级证书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3年以上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高等体育院校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本科以上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体育专业学历、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小教（中教三级）二级以上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体育教师、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职业社会体育指导员、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初级以上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教练员和优秀运动员资质证书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；经审核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级体育行政部门及其委托的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指导员协会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级社会体育指导员技术等级称号，颁发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级社会体育指导员技术等级证书。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、技术培训规范事项：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操舞类（广场舞、健身操、啦啦操、排舞、体育舞蹈）：在三级、二级项目技术培训基础上，再培训一套相应项目的国家推广套路及创编动作要领。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柔力球：在三级、二级项目技术培训基础上，再培训一套柔力球国家推广套路及创编动作要领。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健身气功：在三级、二级项目技术培训基础上，培训健身气功规则和再培训两套国家推广功法。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太极拳：在三级、二级项目技术培训基础上，再培训陈式、杨式、孙式、吴式、武式五种太极拳中的任意一种太极拳。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足球：在三级、二级项目技术培训基础上，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培训在小型足球比赛对抗局面下应用基本技术动作的能力，以及足球比赛技战术方法、比赛阵形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的应用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篮球：在三级、二级项目技术培训基础上，培训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篮球技术分类，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以及二打一、三打二快攻技术及其它形式的攻、防技战术。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排球：在三级、二级项目技术培训基础上，培训发球或接发球的站位方法和传球、垫球、发球、扣球、拦网等基本技术的运用，以及比赛中基本进攻和防守战术的运用。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气排球：在三级、二级项目技术培训基础上，培训气排球比赛裁判方法和比赛中强攻、快攻、两次球及其转移等进攻形式，以及接发球站位、接扣球防守、接拦回球保护等战术的运用能力。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羽毛球：在三级、二级项目技术培训基础上，培训搓球、勾球、推球和吊球、扣杀球技术动作，以及比赛中合理运用技术和战术的能力。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乒乓球：在三级、二级项目技术培训基础上，培训步法组合、发接发技术和正手弧圈球和搓、摆、侧身拉（功）技战术组合，以及打定点陪练的控球能力。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网球：在三级、二级项目技术培训基础上，培训网球单、双打比赛常用战术，比赛中合理使用技战术及制订教学训练计划和授课的能力，以及组织和管理业余网球比赛的能力。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三、培训规范要求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县级体育行政部门及其委托的社会体育指导员协会，开展三级指导员技术项目培训前，将培训项目技术动作教学视频发给学员进行自学，办班前对学员进行技术项目测试，基本掌握该项目技术要求的，方可同意其参加培训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级体育行政部门及其委托的社会体育指导员协会，开展二级指导员技术项目培训前，对参加培训的学员进行相应项目三级指导员需掌握的技术动作测试，掌握该项目技术要求的，在培训前，将二级指导员培训项目技术动作教学视频发给学员进行自学，办班前对学员进行技术项目测试，基本掌握该项目技术要求的，方可同意其参加培训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省社会体育指导员协会组织开展一级指导员技术项目培训前，开展一级指导员技术项目培训前，对参加培训的学员进行相应项目二级指导员需掌握的技术动作测试，掌握该项目技术要求的，培训前将一级指导员培训项目技术动作教学视频发给学员进行自学，办班前对学员进行技术项目测试，基本掌握该项目技术要求的，方可同意其参加培训和考核。</w:t>
      </w:r>
    </w:p>
    <w:p>
      <w:pPr>
        <w:spacing w:line="360" w:lineRule="auto"/>
        <w:ind w:firstLine="480" w:firstLineChars="15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360" w:lineRule="auto"/>
        <w:jc w:val="both"/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9858375</wp:posOffset>
                </wp:positionV>
                <wp:extent cx="333375" cy="266700"/>
                <wp:effectExtent l="0" t="0" r="190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75pt;margin-top:776.25pt;height:21pt;width:26.25pt;z-index:251669504;v-text-anchor:middle;mso-width-relative:page;mso-height-relative:page;" fillcolor="#FFFFFF" filled="t" stroked="f" coordsize="21600,21600" o:gfxdata="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LvaorVAAAADQEAAA8AAAAAAAAAAQAgAAAA&#10;IgAAAGRycy9kb3ducmV2LnhtbFBLAQIUABQAAAAIAIdO4kDzJ//XRwIAAHMEAAAOAAAAAAAAAAEA&#10;IAAAACQ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9858375</wp:posOffset>
                </wp:positionV>
                <wp:extent cx="333375" cy="266700"/>
                <wp:effectExtent l="0" t="0" r="190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75pt;margin-top:776.25pt;height:21pt;width:26.25pt;z-index:251670528;v-text-anchor:middle;mso-width-relative:page;mso-height-relative:page;" fillcolor="#FFFFFF" filled="t" stroked="f" coordsize="21600,21600" o:gfxdata="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LvaorVAAAADQEAAA8AAAAAAAAAAQAgAAAA&#10;IgAAAGRycy9kb3ducmV2LnhtbFBLAQIUABQAAAAIAIdO4kC4glLeRwIAAHMEAAAOAAAAAAAAAAEA&#10;IAAAACQ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公开方式：</w:t>
      </w:r>
      <w:r>
        <w:rPr>
          <w:rFonts w:hint="eastAsia" w:ascii="黑体" w:eastAsia="黑体"/>
          <w:sz w:val="32"/>
          <w:szCs w:val="32"/>
          <w:lang w:eastAsia="zh-CN"/>
        </w:rPr>
        <w:t>主动</w:t>
      </w:r>
      <w:r>
        <w:rPr>
          <w:rFonts w:hint="eastAsia" w:ascii="黑体" w:eastAsia="黑体"/>
          <w:sz w:val="32"/>
          <w:szCs w:val="32"/>
        </w:rPr>
        <w:t>公开</w:t>
      </w: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580" w:lineRule="exact"/>
        <w:ind w:firstLine="320" w:firstLineChars="100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800100</wp:posOffset>
                </wp:positionV>
                <wp:extent cx="648970" cy="382270"/>
                <wp:effectExtent l="0" t="0" r="7620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6pt;margin-top:63pt;height:30.1pt;width:51.1pt;z-index:251672576;mso-width-relative:page;mso-height-relative:page;" fillcolor="#FFFFFF" filled="t" stroked="f" coordsize="21600,21600" o:gfxdata="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LuXkWvYAAAACwEAAA8AAAAAAAAAAQAgAAAAIgAAAGRy&#10;cy9kb3ducmV2LnhtbFBLAQIUABQAAAAIAIdO4kDFW4uxkwEAABADAAAOAAAAAAAAAAEAIAAAACcB&#10;AABkcnMvZTJvRG9jLnhtbFBLBQYAAAAABgAGAFkBAAA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341620" cy="401955"/>
                <wp:effectExtent l="0" t="6350" r="8890" b="1079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1620" cy="401955"/>
                          <a:chOff x="1758" y="14297"/>
                          <a:chExt cx="8412" cy="633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1758" y="14297"/>
                            <a:ext cx="841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758" y="14930"/>
                            <a:ext cx="841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3.7pt;height:31.65pt;width:420.6pt;z-index:251671552;mso-width-relative:page;mso-height-relative:page;" coordorigin="1758,14297" coordsize="8412,633" o:gfxdata="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zLe8v1gAAAAUBAAAPAAAAAAAAAAEAIAAAACIAAABkcnMvZG93bnJldi54bWxQ&#10;SwECFAAUAAAACACHTuJAfvqMVmsCAADWBgAADgAAAAAAAAABACAAAAAlAQAAZHJzL2Uyb0RvYy54&#10;bWxQSwUGAAAAAAYABgBZAQAAAgYAAAAA&#10;">
                <o:lock v:ext="edit" aspectratio="f"/>
                <v:line id="_x0000_s1026" o:spid="_x0000_s1026" o:spt="20" style="position:absolute;left:1758;top:14297;height:0;width:8412;" filled="f" stroked="t" coordsize="21600,21600" o:gfxdata="UEsDBAoAAAAAAIdO4kAAAAAAAAAAAAAAAAAEAAAAZHJzL1BLAwQUAAAACACHTuJA649hN7wAAADa&#10;AAAADwAAAGRycy9kb3ducmV2LnhtbEWPS4sCMRCE74L/IbTgTTOK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YT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758;top:14930;height:0;width:8412;" filled="f" stroked="t" coordsize="21600,21600" o:gfxdata="UEsDBAoAAAAAAIdO4kAAAAAAAAAAAAAAAAAEAAAAZHJzL1BLAwQUAAAACACHTuJAhMPErLwAAADa&#10;AAAADwAAAGRycy9kb3ducmV2LnhtbEWPS4sCMRCE74L/IbTgTTMKus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DxK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广 东 省 体 育 局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7D712E"/>
    <w:multiLevelType w:val="singleLevel"/>
    <w:tmpl w:val="C87D71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961L4BNh88LS7QtVq+cgRE0+HX0=" w:salt="RAVXIHXR4wN9aTyaewn/P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175A2"/>
    <w:rsid w:val="00007796"/>
    <w:rsid w:val="00016471"/>
    <w:rsid w:val="00032D2B"/>
    <w:rsid w:val="000335BF"/>
    <w:rsid w:val="00033CB0"/>
    <w:rsid w:val="00084485"/>
    <w:rsid w:val="000846FC"/>
    <w:rsid w:val="000907DF"/>
    <w:rsid w:val="00090CE2"/>
    <w:rsid w:val="0009231E"/>
    <w:rsid w:val="000A0757"/>
    <w:rsid w:val="000A243D"/>
    <w:rsid w:val="000C1FF7"/>
    <w:rsid w:val="000C2BF9"/>
    <w:rsid w:val="000D0927"/>
    <w:rsid w:val="000D7789"/>
    <w:rsid w:val="000E2B69"/>
    <w:rsid w:val="000E60D3"/>
    <w:rsid w:val="000F2DA4"/>
    <w:rsid w:val="000F340F"/>
    <w:rsid w:val="00104176"/>
    <w:rsid w:val="001209C8"/>
    <w:rsid w:val="001247B0"/>
    <w:rsid w:val="0015215B"/>
    <w:rsid w:val="001526EA"/>
    <w:rsid w:val="00157548"/>
    <w:rsid w:val="00166FD3"/>
    <w:rsid w:val="00181753"/>
    <w:rsid w:val="00181F4D"/>
    <w:rsid w:val="001B5EE3"/>
    <w:rsid w:val="001B7766"/>
    <w:rsid w:val="001C5001"/>
    <w:rsid w:val="001D5F8E"/>
    <w:rsid w:val="001E1978"/>
    <w:rsid w:val="001E21EE"/>
    <w:rsid w:val="001E239D"/>
    <w:rsid w:val="001E29D0"/>
    <w:rsid w:val="001E7A07"/>
    <w:rsid w:val="001F42A4"/>
    <w:rsid w:val="001F580E"/>
    <w:rsid w:val="001F765B"/>
    <w:rsid w:val="00205031"/>
    <w:rsid w:val="00245204"/>
    <w:rsid w:val="00245F11"/>
    <w:rsid w:val="00247F4E"/>
    <w:rsid w:val="002511B9"/>
    <w:rsid w:val="002520E9"/>
    <w:rsid w:val="00252BDC"/>
    <w:rsid w:val="002766A4"/>
    <w:rsid w:val="0029687F"/>
    <w:rsid w:val="002A181C"/>
    <w:rsid w:val="002A7A82"/>
    <w:rsid w:val="002D37A9"/>
    <w:rsid w:val="002D468D"/>
    <w:rsid w:val="00313867"/>
    <w:rsid w:val="0036062F"/>
    <w:rsid w:val="003A201A"/>
    <w:rsid w:val="003D033A"/>
    <w:rsid w:val="003F114B"/>
    <w:rsid w:val="004027CC"/>
    <w:rsid w:val="00402CB5"/>
    <w:rsid w:val="00403335"/>
    <w:rsid w:val="00403700"/>
    <w:rsid w:val="004155E0"/>
    <w:rsid w:val="00415824"/>
    <w:rsid w:val="004165FB"/>
    <w:rsid w:val="004421AB"/>
    <w:rsid w:val="00447BFA"/>
    <w:rsid w:val="004533B7"/>
    <w:rsid w:val="00457D12"/>
    <w:rsid w:val="00461150"/>
    <w:rsid w:val="00463E9A"/>
    <w:rsid w:val="00473EFD"/>
    <w:rsid w:val="00482AD0"/>
    <w:rsid w:val="00483780"/>
    <w:rsid w:val="00492671"/>
    <w:rsid w:val="004A16F2"/>
    <w:rsid w:val="004A2B73"/>
    <w:rsid w:val="004B2791"/>
    <w:rsid w:val="004B605C"/>
    <w:rsid w:val="004E2CBA"/>
    <w:rsid w:val="00555CBE"/>
    <w:rsid w:val="0056433D"/>
    <w:rsid w:val="00580743"/>
    <w:rsid w:val="00583030"/>
    <w:rsid w:val="0058639C"/>
    <w:rsid w:val="005867A1"/>
    <w:rsid w:val="0059046B"/>
    <w:rsid w:val="00594642"/>
    <w:rsid w:val="005C78FE"/>
    <w:rsid w:val="005D12CA"/>
    <w:rsid w:val="005F5442"/>
    <w:rsid w:val="006230F6"/>
    <w:rsid w:val="00630033"/>
    <w:rsid w:val="00635EED"/>
    <w:rsid w:val="00654305"/>
    <w:rsid w:val="00654467"/>
    <w:rsid w:val="0065690D"/>
    <w:rsid w:val="00657B46"/>
    <w:rsid w:val="006653EB"/>
    <w:rsid w:val="006666F5"/>
    <w:rsid w:val="00675CA4"/>
    <w:rsid w:val="00682CD8"/>
    <w:rsid w:val="00685F69"/>
    <w:rsid w:val="00690279"/>
    <w:rsid w:val="00691961"/>
    <w:rsid w:val="00692B95"/>
    <w:rsid w:val="00693D70"/>
    <w:rsid w:val="006945FF"/>
    <w:rsid w:val="006A2758"/>
    <w:rsid w:val="006C1620"/>
    <w:rsid w:val="006C6204"/>
    <w:rsid w:val="006C6A9F"/>
    <w:rsid w:val="006D01FD"/>
    <w:rsid w:val="006D3E01"/>
    <w:rsid w:val="006D7E3B"/>
    <w:rsid w:val="00712255"/>
    <w:rsid w:val="007334A2"/>
    <w:rsid w:val="007605C2"/>
    <w:rsid w:val="00772B26"/>
    <w:rsid w:val="00773C0E"/>
    <w:rsid w:val="00783F90"/>
    <w:rsid w:val="00785F65"/>
    <w:rsid w:val="00787D27"/>
    <w:rsid w:val="007963BF"/>
    <w:rsid w:val="007A7626"/>
    <w:rsid w:val="00825903"/>
    <w:rsid w:val="00832DF5"/>
    <w:rsid w:val="00847E99"/>
    <w:rsid w:val="008602F7"/>
    <w:rsid w:val="008605C1"/>
    <w:rsid w:val="0086523C"/>
    <w:rsid w:val="00870914"/>
    <w:rsid w:val="00874A72"/>
    <w:rsid w:val="00876D4A"/>
    <w:rsid w:val="00884DDB"/>
    <w:rsid w:val="008855D0"/>
    <w:rsid w:val="008974B8"/>
    <w:rsid w:val="008A0ABF"/>
    <w:rsid w:val="008B017A"/>
    <w:rsid w:val="00907116"/>
    <w:rsid w:val="00913FB2"/>
    <w:rsid w:val="00960631"/>
    <w:rsid w:val="00984605"/>
    <w:rsid w:val="009847F0"/>
    <w:rsid w:val="009A6AD2"/>
    <w:rsid w:val="009A73CE"/>
    <w:rsid w:val="009D0EFA"/>
    <w:rsid w:val="009D3AA9"/>
    <w:rsid w:val="009F7AC7"/>
    <w:rsid w:val="00A1418E"/>
    <w:rsid w:val="00A40F5A"/>
    <w:rsid w:val="00A42E25"/>
    <w:rsid w:val="00A43B6E"/>
    <w:rsid w:val="00A67379"/>
    <w:rsid w:val="00A9755A"/>
    <w:rsid w:val="00AA0EBF"/>
    <w:rsid w:val="00AA2A86"/>
    <w:rsid w:val="00AA4AD5"/>
    <w:rsid w:val="00AC344F"/>
    <w:rsid w:val="00AC3E2F"/>
    <w:rsid w:val="00AC4ADC"/>
    <w:rsid w:val="00AC531D"/>
    <w:rsid w:val="00AC60E7"/>
    <w:rsid w:val="00AD3922"/>
    <w:rsid w:val="00AD604F"/>
    <w:rsid w:val="00AE0C94"/>
    <w:rsid w:val="00AE64A2"/>
    <w:rsid w:val="00AF1029"/>
    <w:rsid w:val="00AF3FCE"/>
    <w:rsid w:val="00AF719C"/>
    <w:rsid w:val="00B10AED"/>
    <w:rsid w:val="00B24395"/>
    <w:rsid w:val="00B2593A"/>
    <w:rsid w:val="00B27F96"/>
    <w:rsid w:val="00B3291F"/>
    <w:rsid w:val="00B3300D"/>
    <w:rsid w:val="00B338C6"/>
    <w:rsid w:val="00B362E5"/>
    <w:rsid w:val="00B61415"/>
    <w:rsid w:val="00B7015D"/>
    <w:rsid w:val="00BA57C9"/>
    <w:rsid w:val="00BA5831"/>
    <w:rsid w:val="00BB1F8E"/>
    <w:rsid w:val="00BB34E2"/>
    <w:rsid w:val="00BB5B5D"/>
    <w:rsid w:val="00BE0F28"/>
    <w:rsid w:val="00BF3618"/>
    <w:rsid w:val="00C12A7A"/>
    <w:rsid w:val="00C15D29"/>
    <w:rsid w:val="00C36688"/>
    <w:rsid w:val="00C375DB"/>
    <w:rsid w:val="00C46A64"/>
    <w:rsid w:val="00C5558E"/>
    <w:rsid w:val="00C63AFF"/>
    <w:rsid w:val="00C75A20"/>
    <w:rsid w:val="00C95F52"/>
    <w:rsid w:val="00C96E64"/>
    <w:rsid w:val="00CA3D12"/>
    <w:rsid w:val="00CA4AF5"/>
    <w:rsid w:val="00CA6268"/>
    <w:rsid w:val="00CA6A5A"/>
    <w:rsid w:val="00CD0EA6"/>
    <w:rsid w:val="00CD1E05"/>
    <w:rsid w:val="00CF3A71"/>
    <w:rsid w:val="00D05F2A"/>
    <w:rsid w:val="00D154FA"/>
    <w:rsid w:val="00D34A67"/>
    <w:rsid w:val="00D37054"/>
    <w:rsid w:val="00D416FA"/>
    <w:rsid w:val="00D445BF"/>
    <w:rsid w:val="00D52397"/>
    <w:rsid w:val="00D60549"/>
    <w:rsid w:val="00D73924"/>
    <w:rsid w:val="00D87AE0"/>
    <w:rsid w:val="00D966A1"/>
    <w:rsid w:val="00DA5EE7"/>
    <w:rsid w:val="00DA62B5"/>
    <w:rsid w:val="00DB182F"/>
    <w:rsid w:val="00DB3498"/>
    <w:rsid w:val="00DB55B3"/>
    <w:rsid w:val="00DB743D"/>
    <w:rsid w:val="00DC1B0C"/>
    <w:rsid w:val="00DC291C"/>
    <w:rsid w:val="00DC5DD4"/>
    <w:rsid w:val="00DD2F0D"/>
    <w:rsid w:val="00DF0499"/>
    <w:rsid w:val="00DF3080"/>
    <w:rsid w:val="00E15735"/>
    <w:rsid w:val="00E51ECF"/>
    <w:rsid w:val="00E522B3"/>
    <w:rsid w:val="00E560E2"/>
    <w:rsid w:val="00E704F1"/>
    <w:rsid w:val="00E71B8C"/>
    <w:rsid w:val="00E93283"/>
    <w:rsid w:val="00EB0749"/>
    <w:rsid w:val="00ED09B9"/>
    <w:rsid w:val="00ED20DA"/>
    <w:rsid w:val="00ED29B1"/>
    <w:rsid w:val="00EF0173"/>
    <w:rsid w:val="00F00551"/>
    <w:rsid w:val="00F1576F"/>
    <w:rsid w:val="00F238D9"/>
    <w:rsid w:val="00F32288"/>
    <w:rsid w:val="00F42D74"/>
    <w:rsid w:val="00F436C4"/>
    <w:rsid w:val="00F5302E"/>
    <w:rsid w:val="00F719CD"/>
    <w:rsid w:val="00F8312D"/>
    <w:rsid w:val="00F84FC8"/>
    <w:rsid w:val="00F876C2"/>
    <w:rsid w:val="00FA0759"/>
    <w:rsid w:val="00FA0E36"/>
    <w:rsid w:val="00FB5015"/>
    <w:rsid w:val="00FD527D"/>
    <w:rsid w:val="00FD7F41"/>
    <w:rsid w:val="01260B93"/>
    <w:rsid w:val="017A1CF0"/>
    <w:rsid w:val="023E4880"/>
    <w:rsid w:val="02C074E3"/>
    <w:rsid w:val="036C3A2B"/>
    <w:rsid w:val="044E7CF5"/>
    <w:rsid w:val="04A8289B"/>
    <w:rsid w:val="05520A81"/>
    <w:rsid w:val="05623A25"/>
    <w:rsid w:val="05B175A2"/>
    <w:rsid w:val="062F14C8"/>
    <w:rsid w:val="06D65D9E"/>
    <w:rsid w:val="07144539"/>
    <w:rsid w:val="07284E1B"/>
    <w:rsid w:val="07806964"/>
    <w:rsid w:val="083D2808"/>
    <w:rsid w:val="08A763BA"/>
    <w:rsid w:val="0933008D"/>
    <w:rsid w:val="09E46A4E"/>
    <w:rsid w:val="09EC6F79"/>
    <w:rsid w:val="0ADB07C4"/>
    <w:rsid w:val="0C4967C2"/>
    <w:rsid w:val="122876D5"/>
    <w:rsid w:val="125E6853"/>
    <w:rsid w:val="17F8490A"/>
    <w:rsid w:val="19881EDE"/>
    <w:rsid w:val="1ACA2D76"/>
    <w:rsid w:val="1DA82018"/>
    <w:rsid w:val="1DEF416A"/>
    <w:rsid w:val="210577E4"/>
    <w:rsid w:val="2195539F"/>
    <w:rsid w:val="22670490"/>
    <w:rsid w:val="23616768"/>
    <w:rsid w:val="24D74031"/>
    <w:rsid w:val="25871B56"/>
    <w:rsid w:val="2718280A"/>
    <w:rsid w:val="27655556"/>
    <w:rsid w:val="28CC537E"/>
    <w:rsid w:val="2BB81B3B"/>
    <w:rsid w:val="2C0765A2"/>
    <w:rsid w:val="2C893BF6"/>
    <w:rsid w:val="2CCC10C2"/>
    <w:rsid w:val="30BC47C6"/>
    <w:rsid w:val="3310492F"/>
    <w:rsid w:val="33F6553C"/>
    <w:rsid w:val="34512476"/>
    <w:rsid w:val="35D54EA0"/>
    <w:rsid w:val="3A7B7B4D"/>
    <w:rsid w:val="3B320C41"/>
    <w:rsid w:val="3C331AC0"/>
    <w:rsid w:val="3C746981"/>
    <w:rsid w:val="3D9204CB"/>
    <w:rsid w:val="3EA03F9F"/>
    <w:rsid w:val="3EBB0170"/>
    <w:rsid w:val="40245B67"/>
    <w:rsid w:val="40925F23"/>
    <w:rsid w:val="422F5779"/>
    <w:rsid w:val="43626EF9"/>
    <w:rsid w:val="448962A5"/>
    <w:rsid w:val="44A90A57"/>
    <w:rsid w:val="44D55038"/>
    <w:rsid w:val="4534437C"/>
    <w:rsid w:val="455D736E"/>
    <w:rsid w:val="47A4587C"/>
    <w:rsid w:val="480850AB"/>
    <w:rsid w:val="48517087"/>
    <w:rsid w:val="4A221468"/>
    <w:rsid w:val="4A382F86"/>
    <w:rsid w:val="4A591C31"/>
    <w:rsid w:val="4A8C7BD9"/>
    <w:rsid w:val="4AD532B6"/>
    <w:rsid w:val="4B994A8C"/>
    <w:rsid w:val="4BB043CD"/>
    <w:rsid w:val="509E1DB6"/>
    <w:rsid w:val="50BC167F"/>
    <w:rsid w:val="52484ACA"/>
    <w:rsid w:val="525E14CC"/>
    <w:rsid w:val="528207E7"/>
    <w:rsid w:val="529A2A23"/>
    <w:rsid w:val="55765926"/>
    <w:rsid w:val="557A4FE7"/>
    <w:rsid w:val="56711256"/>
    <w:rsid w:val="57116F9A"/>
    <w:rsid w:val="57654876"/>
    <w:rsid w:val="5AF45DB8"/>
    <w:rsid w:val="5B015FFF"/>
    <w:rsid w:val="5B895B0E"/>
    <w:rsid w:val="60947192"/>
    <w:rsid w:val="646F504A"/>
    <w:rsid w:val="64B9506A"/>
    <w:rsid w:val="67856FE8"/>
    <w:rsid w:val="69CC5E7E"/>
    <w:rsid w:val="6A282F76"/>
    <w:rsid w:val="6B5D535A"/>
    <w:rsid w:val="6BA47255"/>
    <w:rsid w:val="6BEF28D9"/>
    <w:rsid w:val="6CF6694C"/>
    <w:rsid w:val="6E2E7E7A"/>
    <w:rsid w:val="6F0D7D98"/>
    <w:rsid w:val="70E9548C"/>
    <w:rsid w:val="7152444E"/>
    <w:rsid w:val="71A40934"/>
    <w:rsid w:val="71C84F5A"/>
    <w:rsid w:val="73B62DE0"/>
    <w:rsid w:val="747155D0"/>
    <w:rsid w:val="76AE28ED"/>
    <w:rsid w:val="77C70C44"/>
    <w:rsid w:val="782D0912"/>
    <w:rsid w:val="78E86C81"/>
    <w:rsid w:val="796C42BB"/>
    <w:rsid w:val="7AFF6AC3"/>
    <w:rsid w:val="7C6121EB"/>
    <w:rsid w:val="7D6E07D5"/>
    <w:rsid w:val="7D786612"/>
    <w:rsid w:val="7F3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customStyle="1" w:styleId="13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605</Words>
  <Characters>3450</Characters>
  <Lines>28</Lines>
  <Paragraphs>8</Paragraphs>
  <TotalTime>4</TotalTime>
  <ScaleCrop>false</ScaleCrop>
  <LinksUpToDate>false</LinksUpToDate>
  <CharactersWithSpaces>4047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2019-08-04T10:40:00Z</dcterms:created>
  <dc:creator>苒苒燃燃</dc:creator>
  <cp:lastModifiedBy>hp</cp:lastModifiedBy>
  <cp:lastPrinted>2019-07-26T00:55:00Z</cp:lastPrinted>
  <dcterms:modified xsi:type="dcterms:W3CDTF">2019-11-13T03:34:34Z</dcterms:modified>
  <dc:title>关于征求《广东省社会体育指导员培训技术标准（第一批）及相关要求》意见的通知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printid">
    <vt:lpwstr>7E1605EC573743EDBFDCD2597180076B</vt:lpwstr>
  </property>
  <property fmtid="{D5CDD505-2E9C-101B-9397-08002B2CF9AE}" pid="4" name="docranid">
    <vt:lpwstr>autosoft</vt:lpwstr>
  </property>
  <property fmtid="{D5CDD505-2E9C-101B-9397-08002B2CF9AE}" pid="5" name="newsealcount">
    <vt:i4>1</vt:i4>
  </property>
  <property fmtid="{D5CDD505-2E9C-101B-9397-08002B2CF9AE}" pid="6" name="HasSaved">
    <vt:bool>true</vt:bool>
  </property>
  <property fmtid="{D5CDD505-2E9C-101B-9397-08002B2CF9AE}" pid="7" name="tp">
    <vt:lpwstr>7055475</vt:lpwstr>
  </property>
  <property fmtid="{D5CDD505-2E9C-101B-9397-08002B2CF9AE}" pid="8" name="ribbonExt">
    <vt:lpwstr>{"WPSExtOfficeTab":{"OnGetEnabled":false,"OnGetVisible":false}}</vt:lpwstr>
  </property>
</Properties>
</file>