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-5"/>
          <w:sz w:val="32"/>
          <w:szCs w:val="32"/>
          <w:lang w:val="en-US" w:eastAsia="zh-CN"/>
        </w:rPr>
        <w:t>1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104" w:line="221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15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15"/>
          <w:kern w:val="0"/>
          <w:sz w:val="44"/>
          <w:szCs w:val="44"/>
          <w:lang w:eastAsia="zh-CN"/>
        </w:rPr>
        <w:t>线上理论培训课程安排表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955"/>
        <w:gridCol w:w="379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3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课程模块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主要内容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教育理论与职业道德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教师职业理念与职业道德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教育法律法规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教师基本能力与文化素养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运动科学基础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青少年运动生理学基础与运动训练监控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运动解剖学视角下的技术动作解析与优化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儿童青少年体能发展与训练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儿童青少年运动损伤防护、急救与康复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体育教学理论与实践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学科素养下的学校体育基本理论与管理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学校体育活动组织与应急管理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学校体育科研方法应用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中小学体育课程标准与教材教法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《体育与健康课程》解读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中小学体育与健康教学设计与教学法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小初高中体育与健康课例展示与实践教学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体育专项技术与训练实践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儿童青少年运动专项训练计划设计与实施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学校体育赛事组织与管理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/>
              </w:rPr>
              <w:t>校运动队训练实践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60E0A"/>
    <w:rsid w:val="1F824CA0"/>
    <w:rsid w:val="243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2024-07-04T06:54:00Z</dcterms:created>
  <dc:creator>shijy</dc:creator>
  <cp:lastModifiedBy>shijy</cp:lastModifiedBy>
  <dcterms:modified xsi:type="dcterms:W3CDTF">2024-07-04T06:54:28Z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