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2F3E2">
      <w:pPr>
        <w:wordWrap w:val="0"/>
        <w:spacing w:line="360" w:lineRule="auto"/>
        <w:jc w:val="center"/>
        <w:rPr>
          <w:rFonts w:hint="eastAsia" w:ascii="仿宋" w:hAnsi="仿宋" w:eastAsia="仿宋" w:cs="仿宋"/>
          <w:b/>
          <w:bCs w:val="0"/>
          <w:sz w:val="36"/>
          <w:szCs w:val="36"/>
        </w:rPr>
      </w:pPr>
      <w:r>
        <w:rPr>
          <w:rFonts w:hint="eastAsia" w:ascii="仿宋" w:hAnsi="仿宋" w:eastAsia="仿宋" w:cs="仿宋"/>
          <w:b/>
          <w:bCs w:val="0"/>
          <w:color w:val="000000"/>
          <w:sz w:val="36"/>
          <w:szCs w:val="36"/>
        </w:rPr>
        <w:t>项目绩效自评报告</w:t>
      </w:r>
      <w:r>
        <w:rPr>
          <w:rFonts w:hint="eastAsia" w:ascii="仿宋" w:hAnsi="仿宋" w:eastAsia="仿宋" w:cs="仿宋"/>
          <w:b/>
          <w:bCs w:val="0"/>
          <w:sz w:val="36"/>
          <w:szCs w:val="36"/>
        </w:rPr>
        <w:drawing>
          <wp:anchor distT="0" distB="0" distL="114300" distR="114300" simplePos="0" relativeHeight="251659264" behindDoc="1" locked="0" layoutInCell="1" allowOverlap="1">
            <wp:simplePos x="0" y="0"/>
            <wp:positionH relativeFrom="page">
              <wp:posOffset>7861300</wp:posOffset>
            </wp:positionH>
            <wp:positionV relativeFrom="page">
              <wp:posOffset>5930900</wp:posOffset>
            </wp:positionV>
            <wp:extent cx="279400" cy="1130300"/>
            <wp:effectExtent l="0" t="0" r="2540" b="4445"/>
            <wp:wrapNone/>
            <wp:docPr id="1"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MP"/>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9400" cy="1130300"/>
                    </a:xfrm>
                    <a:prstGeom prst="rect">
                      <a:avLst/>
                    </a:prstGeom>
                  </pic:spPr>
                </pic:pic>
              </a:graphicData>
            </a:graphic>
          </wp:anchor>
        </w:drawing>
      </w:r>
    </w:p>
    <w:p w14:paraId="1976D8DE">
      <w:pPr>
        <w:wordWrap w:val="0"/>
        <w:spacing w:line="360" w:lineRule="auto"/>
        <w:ind w:firstLine="0"/>
        <w:jc w:val="both"/>
        <w:rPr>
          <w:rFonts w:hint="eastAsia" w:ascii="仿宋" w:hAnsi="仿宋" w:eastAsia="仿宋" w:cs="仿宋"/>
          <w:b/>
          <w:bCs w:val="0"/>
          <w:color w:val="000000"/>
          <w:sz w:val="36"/>
          <w:szCs w:val="36"/>
        </w:rPr>
      </w:pPr>
    </w:p>
    <w:p w14:paraId="4F25935D">
      <w:pPr>
        <w:wordWrap w:val="0"/>
        <w:spacing w:line="360" w:lineRule="auto"/>
        <w:ind w:firstLine="0"/>
        <w:jc w:val="both"/>
        <w:rPr>
          <w:rFonts w:hint="eastAsia" w:ascii="仿宋" w:hAnsi="仿宋" w:eastAsia="仿宋" w:cs="仿宋"/>
          <w:b/>
          <w:bCs w:val="0"/>
          <w:color w:val="000000"/>
          <w:sz w:val="36"/>
          <w:szCs w:val="36"/>
        </w:rPr>
      </w:pPr>
    </w:p>
    <w:p w14:paraId="2DD953AE">
      <w:pPr>
        <w:wordWrap w:val="0"/>
        <w:spacing w:line="360" w:lineRule="auto"/>
        <w:ind w:firstLine="0"/>
        <w:jc w:val="both"/>
        <w:rPr>
          <w:rFonts w:hint="eastAsia" w:ascii="仿宋" w:hAnsi="仿宋" w:eastAsia="仿宋" w:cs="仿宋"/>
          <w:b/>
          <w:bCs w:val="0"/>
          <w:color w:val="000000"/>
          <w:sz w:val="36"/>
          <w:szCs w:val="36"/>
        </w:rPr>
      </w:pPr>
    </w:p>
    <w:p w14:paraId="6AC11236">
      <w:pPr>
        <w:wordWrap w:val="0"/>
        <w:spacing w:line="360" w:lineRule="auto"/>
        <w:ind w:firstLine="0"/>
        <w:jc w:val="both"/>
        <w:rPr>
          <w:rFonts w:hint="eastAsia" w:ascii="仿宋" w:hAnsi="仿宋" w:eastAsia="仿宋" w:cs="仿宋"/>
          <w:b/>
          <w:bCs w:val="0"/>
          <w:color w:val="000000"/>
          <w:sz w:val="36"/>
          <w:szCs w:val="36"/>
        </w:rPr>
      </w:pPr>
    </w:p>
    <w:p w14:paraId="53017D4B">
      <w:pPr>
        <w:pStyle w:val="2"/>
        <w:rPr>
          <w:rFonts w:hint="eastAsia"/>
          <w:b/>
          <w:bCs w:val="0"/>
        </w:rPr>
      </w:pPr>
    </w:p>
    <w:p w14:paraId="02BF1F06">
      <w:pPr>
        <w:wordWrap w:val="0"/>
        <w:spacing w:line="360" w:lineRule="auto"/>
        <w:ind w:firstLine="0"/>
        <w:jc w:val="both"/>
        <w:rPr>
          <w:rFonts w:hint="eastAsia" w:ascii="仿宋" w:hAnsi="仿宋" w:eastAsia="仿宋" w:cs="仿宋"/>
          <w:b/>
          <w:bCs w:val="0"/>
          <w:color w:val="000000"/>
          <w:sz w:val="36"/>
          <w:szCs w:val="36"/>
        </w:rPr>
      </w:pPr>
    </w:p>
    <w:p w14:paraId="128A3CFE">
      <w:pPr>
        <w:wordWrap w:val="0"/>
        <w:spacing w:line="360" w:lineRule="auto"/>
        <w:ind w:firstLine="0"/>
        <w:jc w:val="both"/>
        <w:rPr>
          <w:rFonts w:hint="eastAsia" w:ascii="仿宋" w:hAnsi="仿宋" w:eastAsia="仿宋" w:cs="仿宋"/>
          <w:b/>
          <w:bCs w:val="0"/>
          <w:color w:val="000000"/>
          <w:sz w:val="36"/>
          <w:szCs w:val="36"/>
        </w:rPr>
      </w:pPr>
    </w:p>
    <w:p w14:paraId="4D1C5E2C">
      <w:pPr>
        <w:pStyle w:val="2"/>
        <w:rPr>
          <w:rFonts w:hint="eastAsia"/>
          <w:b/>
          <w:bCs w:val="0"/>
        </w:rPr>
      </w:pPr>
    </w:p>
    <w:p w14:paraId="4EE064A8">
      <w:pPr>
        <w:wordWrap w:val="0"/>
        <w:spacing w:line="360" w:lineRule="auto"/>
        <w:ind w:firstLine="0"/>
        <w:jc w:val="both"/>
        <w:rPr>
          <w:rFonts w:hint="eastAsia" w:ascii="仿宋" w:hAnsi="仿宋" w:eastAsia="仿宋" w:cs="仿宋"/>
          <w:b/>
          <w:bCs w:val="0"/>
          <w:color w:val="000000"/>
          <w:sz w:val="36"/>
          <w:szCs w:val="36"/>
        </w:rPr>
      </w:pPr>
    </w:p>
    <w:p w14:paraId="371BAB50">
      <w:pPr>
        <w:wordWrap w:val="0"/>
        <w:spacing w:line="360" w:lineRule="auto"/>
        <w:ind w:firstLine="0"/>
        <w:jc w:val="both"/>
        <w:rPr>
          <w:rFonts w:hint="eastAsia" w:ascii="仿宋" w:hAnsi="仿宋" w:eastAsia="仿宋" w:cs="仿宋"/>
          <w:b/>
          <w:bCs w:val="0"/>
          <w:sz w:val="32"/>
          <w:szCs w:val="32"/>
        </w:rPr>
      </w:pPr>
      <w:r>
        <w:rPr>
          <w:rFonts w:hint="eastAsia" w:ascii="仿宋" w:hAnsi="仿宋" w:eastAsia="仿宋" w:cs="仿宋"/>
          <w:b/>
          <w:bCs w:val="0"/>
          <w:color w:val="000000"/>
          <w:sz w:val="32"/>
          <w:szCs w:val="32"/>
        </w:rPr>
        <w:t>资金名称：2023年文化繁荣发展专项资金（竞技体育）</w:t>
      </w:r>
    </w:p>
    <w:p w14:paraId="0BE6EC7C">
      <w:pPr>
        <w:wordWrap w:val="0"/>
        <w:spacing w:line="360" w:lineRule="auto"/>
        <w:ind w:firstLine="0"/>
        <w:jc w:val="both"/>
        <w:rPr>
          <w:rFonts w:hint="eastAsia" w:ascii="仿宋" w:hAnsi="仿宋" w:eastAsia="仿宋" w:cs="仿宋"/>
          <w:b/>
          <w:bCs w:val="0"/>
          <w:sz w:val="36"/>
          <w:szCs w:val="36"/>
        </w:rPr>
      </w:pPr>
      <w:r>
        <w:rPr>
          <w:rFonts w:hint="eastAsia" w:ascii="仿宋" w:hAnsi="仿宋" w:eastAsia="仿宋" w:cs="仿宋"/>
          <w:b/>
          <w:bCs w:val="0"/>
          <w:color w:val="000000"/>
          <w:sz w:val="36"/>
          <w:szCs w:val="36"/>
        </w:rPr>
        <w:t>预算单位：广东</w:t>
      </w:r>
      <w:r>
        <w:rPr>
          <w:rFonts w:hint="eastAsia" w:ascii="仿宋" w:hAnsi="仿宋" w:eastAsia="仿宋" w:cs="仿宋"/>
          <w:b/>
          <w:bCs w:val="0"/>
          <w:color w:val="000000"/>
          <w:sz w:val="36"/>
          <w:szCs w:val="36"/>
          <w:lang w:val="en-US" w:eastAsia="zh-CN"/>
        </w:rPr>
        <w:t>海上项目</w:t>
      </w:r>
      <w:r>
        <w:rPr>
          <w:rFonts w:hint="eastAsia" w:ascii="仿宋" w:hAnsi="仿宋" w:eastAsia="仿宋" w:cs="仿宋"/>
          <w:b/>
          <w:bCs w:val="0"/>
          <w:color w:val="000000"/>
          <w:sz w:val="36"/>
          <w:szCs w:val="36"/>
        </w:rPr>
        <w:t>训练中心</w:t>
      </w:r>
    </w:p>
    <w:p w14:paraId="735C3715">
      <w:pPr>
        <w:wordWrap w:val="0"/>
        <w:spacing w:line="360" w:lineRule="auto"/>
        <w:ind w:firstLine="0"/>
        <w:jc w:val="both"/>
        <w:rPr>
          <w:rFonts w:hint="eastAsia" w:ascii="仿宋" w:hAnsi="仿宋" w:eastAsia="仿宋" w:cs="仿宋"/>
          <w:b/>
          <w:bCs w:val="0"/>
          <w:color w:val="000000"/>
          <w:sz w:val="36"/>
          <w:szCs w:val="36"/>
        </w:rPr>
      </w:pPr>
      <w:r>
        <w:rPr>
          <w:rFonts w:hint="eastAsia" w:ascii="仿宋" w:hAnsi="仿宋" w:eastAsia="仿宋" w:cs="仿宋"/>
          <w:b/>
          <w:bCs w:val="0"/>
          <w:color w:val="000000"/>
          <w:sz w:val="36"/>
          <w:szCs w:val="36"/>
        </w:rPr>
        <w:t>填报人姓名：</w:t>
      </w:r>
      <w:r>
        <w:rPr>
          <w:rFonts w:hint="eastAsia" w:ascii="仿宋" w:hAnsi="仿宋" w:eastAsia="仿宋" w:cs="仿宋"/>
          <w:b/>
          <w:bCs w:val="0"/>
          <w:color w:val="000000"/>
          <w:sz w:val="36"/>
          <w:szCs w:val="36"/>
          <w:lang w:val="en-US" w:eastAsia="zh-CN"/>
        </w:rPr>
        <w:t>吴锡毫</w:t>
      </w:r>
    </w:p>
    <w:p w14:paraId="1D24F9B5">
      <w:pPr>
        <w:wordWrap w:val="0"/>
        <w:spacing w:line="360" w:lineRule="auto"/>
        <w:ind w:firstLine="0"/>
        <w:jc w:val="both"/>
        <w:rPr>
          <w:rFonts w:hint="eastAsia" w:ascii="仿宋" w:hAnsi="仿宋" w:eastAsia="仿宋" w:cs="仿宋"/>
          <w:b/>
          <w:bCs w:val="0"/>
          <w:color w:val="000000"/>
          <w:sz w:val="36"/>
          <w:szCs w:val="36"/>
          <w:lang w:val="en-US" w:eastAsia="zh-CN"/>
        </w:rPr>
      </w:pPr>
      <w:r>
        <w:rPr>
          <w:rFonts w:hint="eastAsia" w:ascii="仿宋" w:hAnsi="仿宋" w:eastAsia="仿宋" w:cs="仿宋"/>
          <w:b/>
          <w:bCs w:val="0"/>
          <w:color w:val="000000"/>
          <w:sz w:val="36"/>
          <w:szCs w:val="36"/>
        </w:rPr>
        <w:t>联系电话</w:t>
      </w:r>
      <w:r>
        <w:rPr>
          <w:rFonts w:hint="eastAsia" w:ascii="仿宋" w:hAnsi="仿宋" w:eastAsia="仿宋" w:cs="仿宋"/>
          <w:b/>
          <w:bCs w:val="0"/>
          <w:color w:val="000000"/>
          <w:sz w:val="36"/>
          <w:szCs w:val="36"/>
        </w:rPr>
        <w:t>：</w:t>
      </w:r>
      <w:r>
        <w:rPr>
          <w:rFonts w:hint="eastAsia" w:ascii="仿宋" w:hAnsi="仿宋" w:eastAsia="仿宋" w:cs="仿宋"/>
          <w:b/>
          <w:bCs w:val="0"/>
          <w:color w:val="000000"/>
          <w:sz w:val="36"/>
          <w:szCs w:val="36"/>
          <w:lang w:val="en-US" w:eastAsia="zh-CN"/>
        </w:rPr>
        <w:t>0660-3451705</w:t>
      </w:r>
    </w:p>
    <w:p w14:paraId="7158F7CD">
      <w:pPr>
        <w:wordWrap w:val="0"/>
        <w:spacing w:line="360" w:lineRule="auto"/>
        <w:ind w:firstLine="0"/>
        <w:jc w:val="both"/>
        <w:rPr>
          <w:rFonts w:hint="eastAsia" w:ascii="仿宋" w:hAnsi="仿宋" w:eastAsia="仿宋" w:cs="仿宋"/>
          <w:b/>
          <w:bCs w:val="0"/>
          <w:color w:val="000000"/>
          <w:sz w:val="36"/>
          <w:szCs w:val="36"/>
        </w:rPr>
      </w:pPr>
      <w:r>
        <w:rPr>
          <w:rFonts w:hint="eastAsia" w:ascii="仿宋" w:hAnsi="仿宋" w:eastAsia="仿宋" w:cs="仿宋"/>
          <w:b/>
          <w:bCs w:val="0"/>
          <w:color w:val="000000"/>
          <w:sz w:val="36"/>
          <w:szCs w:val="36"/>
        </w:rPr>
        <w:t>填报日期：2024年</w:t>
      </w:r>
      <w:r>
        <w:rPr>
          <w:rFonts w:hint="eastAsia" w:ascii="仿宋" w:hAnsi="仿宋" w:eastAsia="仿宋" w:cs="仿宋"/>
          <w:b/>
          <w:bCs w:val="0"/>
          <w:color w:val="000000"/>
          <w:sz w:val="36"/>
          <w:szCs w:val="36"/>
          <w:lang w:val="en-US" w:eastAsia="zh-CN"/>
        </w:rPr>
        <w:t>8</w:t>
      </w:r>
      <w:r>
        <w:rPr>
          <w:rFonts w:hint="eastAsia" w:ascii="仿宋" w:hAnsi="仿宋" w:eastAsia="仿宋" w:cs="仿宋"/>
          <w:b/>
          <w:bCs w:val="0"/>
          <w:color w:val="000000"/>
          <w:sz w:val="36"/>
          <w:szCs w:val="36"/>
        </w:rPr>
        <w:t>月16日</w:t>
      </w:r>
    </w:p>
    <w:p w14:paraId="7B2D0CA3">
      <w:pPr>
        <w:pStyle w:val="2"/>
        <w:rPr>
          <w:rFonts w:hint="eastAsia"/>
          <w:b/>
          <w:bCs w:val="0"/>
        </w:rPr>
      </w:pPr>
    </w:p>
    <w:p w14:paraId="278578E6">
      <w:pPr>
        <w:wordWrap w:val="0"/>
        <w:spacing w:line="360" w:lineRule="auto"/>
        <w:ind w:firstLine="0"/>
        <w:jc w:val="both"/>
        <w:rPr>
          <w:rFonts w:hint="eastAsia" w:ascii="仿宋" w:hAnsi="仿宋" w:eastAsia="仿宋" w:cs="仿宋"/>
          <w:b/>
          <w:bCs w:val="0"/>
          <w:color w:val="000000"/>
          <w:sz w:val="32"/>
          <w:szCs w:val="32"/>
        </w:rPr>
      </w:pPr>
    </w:p>
    <w:p w14:paraId="7369A882">
      <w:pPr>
        <w:wordWrap w:val="0"/>
        <w:spacing w:line="360" w:lineRule="auto"/>
        <w:ind w:firstLine="0"/>
        <w:jc w:val="both"/>
        <w:rPr>
          <w:rFonts w:hint="eastAsia" w:ascii="仿宋" w:hAnsi="仿宋" w:eastAsia="仿宋" w:cs="仿宋"/>
          <w:b/>
          <w:bCs w:val="0"/>
          <w:color w:val="000000"/>
          <w:sz w:val="32"/>
          <w:szCs w:val="32"/>
        </w:rPr>
        <w:sectPr>
          <w:headerReference r:id="rId3" w:type="default"/>
          <w:footerReference r:id="rId4" w:type="default"/>
          <w:type w:val="continuous"/>
          <w:pgSz w:w="11900" w:h="16820"/>
          <w:pgMar w:top="2880" w:right="1920" w:bottom="2640" w:left="1920" w:header="1440" w:footer="1320" w:gutter="0"/>
          <w:cols w:space="720" w:num="1"/>
        </w:sectPr>
      </w:pPr>
    </w:p>
    <w:p w14:paraId="3B6E58C8">
      <w:pPr>
        <w:wordWrap w:val="0"/>
        <w:spacing w:line="360" w:lineRule="auto"/>
        <w:ind w:firstLine="660"/>
        <w:jc w:val="both"/>
        <w:rPr>
          <w:rFonts w:hint="eastAsia" w:ascii="仿宋" w:hAnsi="仿宋" w:eastAsia="仿宋" w:cs="仿宋"/>
          <w:color w:val="000000"/>
          <w:sz w:val="32"/>
          <w:szCs w:val="32"/>
        </w:rPr>
      </w:pPr>
      <w:r>
        <w:rPr>
          <w:rFonts w:hint="eastAsia" w:ascii="仿宋" w:hAnsi="仿宋" w:eastAsia="仿宋" w:cs="仿宋"/>
          <w:b/>
          <w:color w:val="000000"/>
          <w:sz w:val="32"/>
          <w:szCs w:val="32"/>
        </w:rPr>
        <w:t>一、基本情况</w:t>
      </w: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page">
              <wp:posOffset>3568700</wp:posOffset>
            </wp:positionH>
            <wp:positionV relativeFrom="page">
              <wp:posOffset>6502400</wp:posOffset>
            </wp:positionV>
            <wp:extent cx="1562100" cy="1536700"/>
            <wp:effectExtent l="0" t="0" r="2540" b="4445"/>
            <wp:wrapNone/>
            <wp:docPr id="3"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MP"/>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562100" cy="1536700"/>
                    </a:xfrm>
                    <a:prstGeom prst="rect">
                      <a:avLst/>
                    </a:prstGeom>
                  </pic:spPr>
                </pic:pic>
              </a:graphicData>
            </a:graphic>
          </wp:anchor>
        </w:drawing>
      </w:r>
    </w:p>
    <w:p w14:paraId="1374B467">
      <w:pPr>
        <w:wordWrap w:val="0"/>
        <w:spacing w:line="360" w:lineRule="auto"/>
        <w:ind w:firstLine="820"/>
        <w:jc w:val="both"/>
        <w:rPr>
          <w:rFonts w:hint="eastAsia" w:ascii="仿宋" w:hAnsi="仿宋" w:eastAsia="仿宋" w:cs="仿宋"/>
          <w:color w:val="000000"/>
          <w:sz w:val="32"/>
          <w:szCs w:val="32"/>
        </w:rPr>
      </w:pPr>
      <w:r>
        <w:rPr>
          <w:rFonts w:hint="eastAsia" w:ascii="仿宋" w:hAnsi="仿宋" w:eastAsia="仿宋" w:cs="仿宋"/>
          <w:b/>
          <w:color w:val="000000"/>
          <w:sz w:val="32"/>
          <w:szCs w:val="32"/>
        </w:rPr>
        <w:t>（一）项目资金概况</w:t>
      </w:r>
    </w:p>
    <w:p w14:paraId="095E36B0">
      <w:pPr>
        <w:keepNext w:val="0"/>
        <w:keepLines w:val="0"/>
        <w:pageBreakBefore w:val="0"/>
        <w:widowControl w:val="0"/>
        <w:pBdr>
          <w:bottom w:val="none" w:color="auto" w:sz="0" w:space="31"/>
        </w:pBdr>
        <w:kinsoku/>
        <w:overflowPunct/>
        <w:topLinePunct w:val="0"/>
        <w:autoSpaceDE/>
        <w:autoSpaceDN w:val="0"/>
        <w:bidi w:val="0"/>
        <w:adjustRightInd w:val="0"/>
        <w:snapToGrid w:val="0"/>
        <w:spacing w:line="360" w:lineRule="auto"/>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广东海上项目训练中心</w:t>
      </w:r>
      <w:r>
        <w:rPr>
          <w:rFonts w:hint="eastAsia" w:ascii="仿宋" w:hAnsi="仿宋" w:eastAsia="仿宋" w:cs="仿宋"/>
          <w:b w:val="0"/>
          <w:bCs w:val="0"/>
          <w:sz w:val="32"/>
          <w:szCs w:val="32"/>
          <w:lang w:val="en-US" w:eastAsia="zh-CN"/>
        </w:rPr>
        <w:t>在体育局的领导和指导下，</w:t>
      </w:r>
      <w:r>
        <w:rPr>
          <w:rFonts w:hint="eastAsia" w:ascii="仿宋" w:hAnsi="仿宋" w:eastAsia="仿宋" w:cs="仿宋"/>
          <w:sz w:val="32"/>
          <w:szCs w:val="32"/>
        </w:rPr>
        <w:t>坚持以习近平新时代中国特色社会主义思想为指导，深入贯彻党的二十大精神和习近平总书记视察广东及关于体育的重要</w:t>
      </w:r>
      <w:r>
        <w:rPr>
          <w:rFonts w:hint="eastAsia" w:ascii="仿宋" w:hAnsi="仿宋" w:eastAsia="仿宋" w:cs="仿宋"/>
          <w:color w:val="000000"/>
          <w:sz w:val="32"/>
          <w:szCs w:val="32"/>
        </w:rPr>
        <w:t>论述</w:t>
      </w:r>
      <w:r>
        <w:rPr>
          <w:rFonts w:hint="eastAsia" w:ascii="仿宋" w:hAnsi="仿宋" w:eastAsia="仿宋" w:cs="仿宋"/>
          <w:sz w:val="32"/>
          <w:szCs w:val="32"/>
        </w:rPr>
        <w:t>和重要指示批示精神</w:t>
      </w:r>
      <w:r>
        <w:rPr>
          <w:rFonts w:hint="eastAsia" w:ascii="仿宋" w:hAnsi="仿宋" w:eastAsia="仿宋" w:cs="仿宋"/>
          <w:b w:val="0"/>
          <w:bCs w:val="0"/>
          <w:sz w:val="32"/>
          <w:szCs w:val="32"/>
          <w:lang w:val="en-US" w:eastAsia="zh-CN"/>
        </w:rPr>
        <w:t>，进一步加强组织建设，加强党员思想作风教育，积极开展多种形式的组织活动，充分发挥了党组织的战斗堡垒作用和共产党员的先锋模范作用，推动了全中心工作的顺利开展</w:t>
      </w:r>
      <w:r>
        <w:rPr>
          <w:rFonts w:hint="eastAsia" w:ascii="仿宋" w:hAnsi="仿宋" w:eastAsia="仿宋" w:cs="仿宋"/>
          <w:sz w:val="32"/>
          <w:szCs w:val="32"/>
        </w:rPr>
        <w:t>，</w:t>
      </w:r>
      <w:r>
        <w:rPr>
          <w:rFonts w:hint="eastAsia" w:ascii="仿宋" w:hAnsi="仿宋" w:eastAsia="仿宋" w:cs="仿宋"/>
          <w:sz w:val="32"/>
          <w:szCs w:val="32"/>
          <w:lang w:val="en-US" w:eastAsia="zh-CN"/>
        </w:rPr>
        <w:t>助力</w:t>
      </w:r>
      <w:r>
        <w:rPr>
          <w:rFonts w:hint="eastAsia" w:ascii="仿宋" w:hAnsi="仿宋" w:eastAsia="仿宋" w:cs="仿宋"/>
          <w:sz w:val="32"/>
          <w:szCs w:val="32"/>
        </w:rPr>
        <w:t>推进广东体育事业高质量发展。</w:t>
      </w:r>
      <w:r>
        <w:rPr>
          <w:rFonts w:hint="eastAsia" w:ascii="仿宋" w:hAnsi="仿宋" w:eastAsia="仿宋" w:cs="仿宋"/>
          <w:color w:val="000000"/>
          <w:sz w:val="32"/>
          <w:szCs w:val="32"/>
        </w:rPr>
        <w:t>保障中心后勤正常运转，做好队伍梯队建设，完善运动员参赛阵容，锻炼队伍，提高竞技水平，力争2024年奥运会我中心有运动员参赛、亚运会夺得1枚金牌2025年粤港澳全运会完成1-2枚金牌的总目标</w:t>
      </w:r>
      <w:r>
        <w:rPr>
          <w:rFonts w:hint="eastAsia" w:ascii="仿宋" w:hAnsi="仿宋" w:eastAsia="仿宋" w:cs="仿宋"/>
          <w:b w:val="0"/>
          <w:bCs w:val="0"/>
          <w:color w:val="000000"/>
          <w:sz w:val="32"/>
          <w:szCs w:val="32"/>
        </w:rPr>
        <w:t>。 2023年预算安排文化繁荣发展专项资金（竞技体育）项目</w:t>
      </w:r>
      <w:r>
        <w:rPr>
          <w:rFonts w:hint="eastAsia" w:ascii="仿宋" w:hAnsi="仿宋" w:eastAsia="仿宋" w:cs="仿宋"/>
          <w:b w:val="0"/>
          <w:bCs w:val="0"/>
          <w:color w:val="000000"/>
          <w:sz w:val="32"/>
          <w:szCs w:val="32"/>
          <w:lang w:val="en-US" w:eastAsia="zh-CN"/>
        </w:rPr>
        <w:t>3309.99</w:t>
      </w:r>
      <w:r>
        <w:rPr>
          <w:rFonts w:hint="eastAsia" w:ascii="仿宋" w:hAnsi="仿宋" w:eastAsia="仿宋" w:cs="仿宋"/>
          <w:b w:val="0"/>
          <w:bCs w:val="0"/>
          <w:color w:val="000000"/>
          <w:sz w:val="32"/>
          <w:szCs w:val="32"/>
        </w:rPr>
        <w:t>万元，</w:t>
      </w:r>
      <w:r>
        <w:rPr>
          <w:rFonts w:hint="eastAsia" w:ascii="仿宋" w:hAnsi="仿宋" w:eastAsia="仿宋" w:cs="仿宋"/>
          <w:color w:val="000000"/>
          <w:sz w:val="32"/>
          <w:szCs w:val="32"/>
        </w:rPr>
        <w:t>资金分配方式为项目制</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rPr>
        <w:t>其中：备战重大体育赛事</w:t>
      </w:r>
      <w:r>
        <w:rPr>
          <w:rFonts w:hint="eastAsia" w:ascii="仿宋" w:hAnsi="仿宋" w:eastAsia="仿宋" w:cs="仿宋"/>
          <w:b w:val="0"/>
          <w:bCs w:val="0"/>
          <w:color w:val="000000"/>
          <w:sz w:val="32"/>
          <w:szCs w:val="32"/>
          <w:lang w:val="en-US" w:eastAsia="zh-CN"/>
        </w:rPr>
        <w:t>2812.69</w:t>
      </w:r>
      <w:r>
        <w:rPr>
          <w:rFonts w:hint="eastAsia" w:ascii="仿宋" w:hAnsi="仿宋" w:eastAsia="仿宋" w:cs="仿宋"/>
          <w:b w:val="0"/>
          <w:bCs w:val="0"/>
          <w:color w:val="000000"/>
          <w:sz w:val="32"/>
          <w:szCs w:val="32"/>
        </w:rPr>
        <w:t>万元，运动队保障</w:t>
      </w:r>
      <w:r>
        <w:rPr>
          <w:rFonts w:hint="eastAsia" w:ascii="仿宋" w:hAnsi="仿宋" w:eastAsia="仿宋" w:cs="仿宋"/>
          <w:b w:val="0"/>
          <w:bCs w:val="0"/>
          <w:color w:val="000000"/>
          <w:sz w:val="32"/>
          <w:szCs w:val="32"/>
          <w:lang w:val="en-US" w:eastAsia="zh-CN"/>
        </w:rPr>
        <w:t>497.3</w:t>
      </w:r>
      <w:r>
        <w:rPr>
          <w:rFonts w:hint="eastAsia" w:ascii="仿宋" w:hAnsi="仿宋" w:eastAsia="仿宋" w:cs="仿宋"/>
          <w:b w:val="0"/>
          <w:bCs w:val="0"/>
          <w:color w:val="000000"/>
          <w:sz w:val="32"/>
          <w:szCs w:val="32"/>
        </w:rPr>
        <w:t>万元。</w:t>
      </w:r>
    </w:p>
    <w:p w14:paraId="45E2B77B">
      <w:pPr>
        <w:keepNext w:val="0"/>
        <w:keepLines w:val="0"/>
        <w:pageBreakBefore w:val="0"/>
        <w:widowControl w:val="0"/>
        <w:pBdr>
          <w:bottom w:val="none" w:color="auto" w:sz="0" w:space="31"/>
        </w:pBdr>
        <w:kinsoku/>
        <w:overflowPunct/>
        <w:topLinePunct w:val="0"/>
        <w:autoSpaceDE/>
        <w:autoSpaceDN w:val="0"/>
        <w:bidi w:val="0"/>
        <w:adjustRightInd w:val="0"/>
        <w:snapToGrid w:val="0"/>
        <w:spacing w:line="360" w:lineRule="auto"/>
        <w:ind w:firstLine="643" w:firstLineChars="200"/>
        <w:textAlignment w:val="auto"/>
        <w:rPr>
          <w:rFonts w:hint="eastAsia" w:ascii="仿宋" w:hAnsi="仿宋" w:eastAsia="仿宋" w:cs="仿宋"/>
          <w:sz w:val="32"/>
          <w:szCs w:val="32"/>
        </w:rPr>
      </w:pPr>
      <w:r>
        <w:rPr>
          <w:rFonts w:hint="eastAsia" w:ascii="仿宋" w:hAnsi="仿宋" w:eastAsia="仿宋" w:cs="仿宋"/>
          <w:b/>
          <w:color w:val="000000"/>
          <w:sz w:val="32"/>
          <w:szCs w:val="32"/>
        </w:rPr>
        <w:t>（二）项目主要用途、扶持对象</w:t>
      </w:r>
    </w:p>
    <w:p w14:paraId="7C87325D">
      <w:pPr>
        <w:wordWrap w:val="0"/>
        <w:spacing w:line="360" w:lineRule="auto"/>
        <w:ind w:right="340" w:firstLine="640" w:firstLineChars="200"/>
        <w:jc w:val="both"/>
        <w:rPr>
          <w:rFonts w:hint="eastAsia" w:ascii="仿宋" w:hAnsi="仿宋" w:eastAsia="仿宋" w:cs="仿宋"/>
          <w:b w:val="0"/>
          <w:bCs/>
          <w:sz w:val="32"/>
          <w:szCs w:val="32"/>
        </w:rPr>
        <w:sectPr>
          <w:headerReference r:id="rId5" w:type="default"/>
          <w:footerReference r:id="rId6" w:type="default"/>
          <w:type w:val="continuous"/>
          <w:pgSz w:w="11900" w:h="16820"/>
          <w:pgMar w:top="1920" w:right="1200" w:bottom="1440" w:left="1200" w:header="960" w:footer="720" w:gutter="0"/>
          <w:cols w:space="720" w:num="1"/>
        </w:sectPr>
      </w:pPr>
      <w:r>
        <w:rPr>
          <w:rFonts w:hint="eastAsia" w:ascii="仿宋" w:hAnsi="仿宋" w:eastAsia="仿宋" w:cs="仿宋"/>
          <w:b w:val="0"/>
          <w:bCs/>
          <w:color w:val="000000"/>
          <w:sz w:val="32"/>
          <w:szCs w:val="32"/>
        </w:rPr>
        <w:t>1．备战重大体育赛事：主要用于十五运周期（2022-2025）保障我省备战单位备战工作需要以及支持相关俱乐部、协会、社会团体等参与备战，包括人才引进、外训外赛、科研运作、购置训练比赛器材服装、依托社会力量开展备战工作和备战保证保障工作等。</w:t>
      </w:r>
    </w:p>
    <w:p w14:paraId="278C5D4C">
      <w:pPr>
        <w:wordWrap w:val="0"/>
        <w:spacing w:line="360" w:lineRule="auto"/>
        <w:ind w:left="20" w:right="340" w:firstLine="680"/>
        <w:jc w:val="both"/>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2．运动队保障：改善我省优秀运动队的训练比赛及生活设施，维修改造省级训练中心运动员宿舍及场馆，开展退役运动员培训项目。</w:t>
      </w:r>
      <w:r>
        <w:rPr>
          <w:rFonts w:hint="eastAsia" w:ascii="仿宋" w:hAnsi="仿宋" w:eastAsia="仿宋" w:cs="仿宋"/>
          <w:b w:val="0"/>
          <w:bCs/>
          <w:color w:val="000000"/>
          <w:sz w:val="32"/>
          <w:szCs w:val="32"/>
        </w:rPr>
        <w:drawing>
          <wp:anchor distT="0" distB="0" distL="114300" distR="114300" simplePos="0" relativeHeight="251659264" behindDoc="1" locked="0" layoutInCell="1" allowOverlap="1">
            <wp:simplePos x="0" y="0"/>
            <wp:positionH relativeFrom="page">
              <wp:posOffset>6934200</wp:posOffset>
            </wp:positionH>
            <wp:positionV relativeFrom="page">
              <wp:posOffset>5816600</wp:posOffset>
            </wp:positionV>
            <wp:extent cx="152400" cy="1358900"/>
            <wp:effectExtent l="0" t="0" r="2540" b="4445"/>
            <wp:wrapNone/>
            <wp:docPr id="4"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MP"/>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52400" cy="1358900"/>
                    </a:xfrm>
                    <a:prstGeom prst="rect">
                      <a:avLst/>
                    </a:prstGeom>
                  </pic:spPr>
                </pic:pic>
              </a:graphicData>
            </a:graphic>
          </wp:anchor>
        </w:drawing>
      </w:r>
    </w:p>
    <w:p w14:paraId="09416691">
      <w:pPr>
        <w:wordWrap w:val="0"/>
        <w:spacing w:line="360" w:lineRule="auto"/>
        <w:ind w:firstLine="820"/>
        <w:jc w:val="both"/>
        <w:rPr>
          <w:rFonts w:hint="eastAsia" w:ascii="仿宋" w:hAnsi="仿宋" w:eastAsia="仿宋" w:cs="仿宋"/>
          <w:color w:val="000000"/>
          <w:sz w:val="32"/>
          <w:szCs w:val="32"/>
        </w:rPr>
      </w:pPr>
      <w:r>
        <w:rPr>
          <w:rFonts w:hint="eastAsia" w:ascii="仿宋" w:hAnsi="仿宋" w:eastAsia="仿宋" w:cs="仿宋"/>
          <w:b/>
          <w:color w:val="000000"/>
          <w:sz w:val="32"/>
          <w:szCs w:val="32"/>
        </w:rPr>
        <w:t>（三）项目绩效目标</w:t>
      </w:r>
    </w:p>
    <w:p w14:paraId="45988013">
      <w:pPr>
        <w:wordWrap w:val="0"/>
        <w:spacing w:before="26" w:line="360" w:lineRule="auto"/>
        <w:ind w:firstLine="680"/>
        <w:jc w:val="both"/>
        <w:rPr>
          <w:rFonts w:hint="eastAsia" w:ascii="仿宋" w:hAnsi="仿宋" w:eastAsia="仿宋" w:cs="仿宋"/>
          <w:sz w:val="32"/>
          <w:szCs w:val="32"/>
        </w:rPr>
      </w:pPr>
      <w:r>
        <w:rPr>
          <w:rFonts w:hint="eastAsia" w:ascii="仿宋" w:hAnsi="仿宋" w:eastAsia="仿宋" w:cs="仿宋"/>
          <w:b/>
          <w:color w:val="000000"/>
          <w:sz w:val="32"/>
          <w:szCs w:val="32"/>
        </w:rPr>
        <w:t>1．总体绩效目标：</w:t>
      </w:r>
    </w:p>
    <w:p w14:paraId="1B2D5903">
      <w:pPr>
        <w:keepNext w:val="0"/>
        <w:keepLines w:val="0"/>
        <w:pageBreakBefore w:val="0"/>
        <w:widowControl w:val="0"/>
        <w:pBdr>
          <w:bottom w:val="none" w:color="auto" w:sz="0" w:space="31"/>
        </w:pBdr>
        <w:kinsoku/>
        <w:overflowPunct/>
        <w:topLinePunct w:val="0"/>
        <w:autoSpaceDE/>
        <w:autoSpaceDN w:val="0"/>
        <w:bidi w:val="0"/>
        <w:adjustRightInd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2023年，</w:t>
      </w:r>
      <w:r>
        <w:rPr>
          <w:rFonts w:hint="eastAsia" w:ascii="仿宋" w:hAnsi="仿宋" w:eastAsia="仿宋" w:cs="仿宋"/>
          <w:sz w:val="32"/>
          <w:szCs w:val="32"/>
          <w:lang w:val="en-US" w:eastAsia="zh-CN"/>
        </w:rPr>
        <w:t>广东海上项目训练中心</w:t>
      </w:r>
      <w:r>
        <w:rPr>
          <w:rFonts w:hint="eastAsia" w:ascii="仿宋" w:hAnsi="仿宋" w:eastAsia="仿宋" w:cs="仿宋"/>
          <w:b w:val="0"/>
          <w:bCs w:val="0"/>
          <w:sz w:val="32"/>
          <w:szCs w:val="32"/>
          <w:lang w:val="en-US" w:eastAsia="zh-CN"/>
        </w:rPr>
        <w:t>在体育局的领导和指导下，</w:t>
      </w:r>
      <w:r>
        <w:rPr>
          <w:rFonts w:hint="eastAsia" w:ascii="仿宋" w:hAnsi="仿宋" w:eastAsia="仿宋" w:cs="仿宋"/>
          <w:sz w:val="32"/>
          <w:szCs w:val="32"/>
        </w:rPr>
        <w:t>坚持以习近平新时代中国特色社会主义思想为指导，深入贯彻党的二十大精神和习近平总书记视察广东及关于体育的重要</w:t>
      </w:r>
      <w:r>
        <w:rPr>
          <w:rFonts w:hint="eastAsia" w:ascii="仿宋" w:hAnsi="仿宋" w:eastAsia="仿宋" w:cs="仿宋"/>
          <w:color w:val="000000"/>
          <w:sz w:val="32"/>
          <w:szCs w:val="32"/>
        </w:rPr>
        <w:t>论述</w:t>
      </w:r>
      <w:r>
        <w:rPr>
          <w:rFonts w:hint="eastAsia" w:ascii="仿宋" w:hAnsi="仿宋" w:eastAsia="仿宋" w:cs="仿宋"/>
          <w:sz w:val="32"/>
          <w:szCs w:val="32"/>
        </w:rPr>
        <w:t>和重要指示批示精神</w:t>
      </w:r>
      <w:r>
        <w:rPr>
          <w:rFonts w:hint="eastAsia" w:ascii="仿宋" w:hAnsi="仿宋" w:eastAsia="仿宋" w:cs="仿宋"/>
          <w:b w:val="0"/>
          <w:bCs w:val="0"/>
          <w:sz w:val="32"/>
          <w:szCs w:val="32"/>
          <w:lang w:val="en-US" w:eastAsia="zh-CN"/>
        </w:rPr>
        <w:t>，进一步加强组织建设，加强党员思想作风教育，积极开展多种形式的组织活动，充分发挥了党组织的战斗堡垒作用和共产党员的先锋模范作用，推动了全中心工作的顺利开展</w:t>
      </w:r>
      <w:r>
        <w:rPr>
          <w:rFonts w:hint="eastAsia" w:ascii="仿宋" w:hAnsi="仿宋" w:eastAsia="仿宋" w:cs="仿宋"/>
          <w:sz w:val="32"/>
          <w:szCs w:val="32"/>
        </w:rPr>
        <w:t>，</w:t>
      </w:r>
      <w:r>
        <w:rPr>
          <w:rFonts w:hint="eastAsia" w:ascii="仿宋" w:hAnsi="仿宋" w:eastAsia="仿宋" w:cs="仿宋"/>
          <w:sz w:val="32"/>
          <w:szCs w:val="32"/>
          <w:lang w:val="en-US" w:eastAsia="zh-CN"/>
        </w:rPr>
        <w:t>助力</w:t>
      </w:r>
      <w:r>
        <w:rPr>
          <w:rFonts w:hint="eastAsia" w:ascii="仿宋" w:hAnsi="仿宋" w:eastAsia="仿宋" w:cs="仿宋"/>
          <w:sz w:val="32"/>
          <w:szCs w:val="32"/>
        </w:rPr>
        <w:t>推进广东体育事业高质量发展。</w:t>
      </w:r>
      <w:r>
        <w:rPr>
          <w:rFonts w:hint="eastAsia" w:ascii="仿宋" w:hAnsi="仿宋" w:eastAsia="仿宋" w:cs="仿宋"/>
          <w:color w:val="000000"/>
          <w:sz w:val="32"/>
          <w:szCs w:val="32"/>
        </w:rPr>
        <w:t xml:space="preserve">保障中心后勤正常运转，做好队伍梯队建设，完善运动员参赛阵容，锻炼队伍，提高竞技水平，力争2024年奥运会我中心有运动员参赛、亚运会夺得1枚金牌2025年粤港澳全运会完成1-2枚金牌的总目标。 </w:t>
      </w:r>
    </w:p>
    <w:p w14:paraId="5B2469F8">
      <w:pPr>
        <w:keepNext w:val="0"/>
        <w:keepLines w:val="0"/>
        <w:pageBreakBefore w:val="0"/>
        <w:widowControl w:val="0"/>
        <w:pBdr>
          <w:bottom w:val="none" w:color="auto" w:sz="0" w:space="31"/>
        </w:pBdr>
        <w:kinsoku/>
        <w:overflowPunct/>
        <w:topLinePunct w:val="0"/>
        <w:autoSpaceDE/>
        <w:autoSpaceDN w:val="0"/>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color w:val="000000"/>
          <w:sz w:val="32"/>
          <w:szCs w:val="32"/>
        </w:rPr>
        <w:t>2．具体年度绩效目标：</w:t>
      </w:r>
    </w:p>
    <w:p w14:paraId="73CBA7C8">
      <w:pPr>
        <w:wordWrap w:val="0"/>
        <w:spacing w:line="360" w:lineRule="auto"/>
        <w:ind w:right="18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备战重大体育赛事项目的绩效目标：（1）2023年中心运动队各项目参加全国性比赛3-4次，争取获得1-2枚金牌、4枚奖牌，亚运会1枚奖牌；锻炼队伍，提高竞技水平，为2025年粤港澳大湾区全运会完成1-2枚金牌的总目标，打好基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2）2023年运动队力争引进优秀运动员合计3人，国内教练（含体能教练）7人，引进急需紧缺的高水平外教2-3人，通过积极借助外力和统筹自身资源等方式，针对性地解决部分队伍薄弱、人才紧缺和断层问题，补齐队伍阵容，提升备战阵容的综合实力及竞技体育核心竞争力。（3）依法依规做好训练器材与服装的规范管理及采购，根据不同的运动项目特点配备专业的训练比赛器材、服装等，按规定做好年度120人左右的采购计划及采购，年度器材设备验收合格率95%以上。（4）完善中心科医管理制度，做好优秀运动队医务人员配置，购置及维修维护科研医疗体能器材，药品、护具、营养品等验收合格率95%以上，做好运动员120人训练比赛的医疗保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5）做好中心体育训练场地的维护运转、保障教练员及运动员120人左右的食宿及训练，为队伍的比赛做好后勤保障。</w:t>
      </w:r>
    </w:p>
    <w:p w14:paraId="0F4DCF8B">
      <w:pPr>
        <w:wordWrap w:val="0"/>
        <w:spacing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运动队保障项目的绩效目标：改造铝合金门窗、增设厨房，保障中心120多名运动员的生活环境；设立陆上冲浪池，保障新项目队员的陆上辅助训练及恶劣天气训练；设立临时停车棚及防台防汛等其他零星维护，消除安全隐患，保障中心正常运作。</w:t>
      </w:r>
    </w:p>
    <w:p w14:paraId="266E8295">
      <w:pPr>
        <w:wordWrap w:val="0"/>
        <w:spacing w:before="25" w:line="360" w:lineRule="auto"/>
        <w:ind w:firstLine="700"/>
        <w:jc w:val="both"/>
        <w:rPr>
          <w:rFonts w:hint="eastAsia" w:ascii="仿宋" w:hAnsi="仿宋" w:eastAsia="仿宋" w:cs="仿宋"/>
          <w:sz w:val="32"/>
          <w:szCs w:val="32"/>
        </w:rPr>
      </w:pPr>
      <w:r>
        <w:rPr>
          <w:rFonts w:hint="eastAsia" w:ascii="仿宋" w:hAnsi="仿宋" w:eastAsia="仿宋" w:cs="仿宋"/>
          <w:b/>
          <w:color w:val="000000"/>
          <w:sz w:val="32"/>
          <w:szCs w:val="32"/>
        </w:rPr>
        <w:t>二、自评情况</w:t>
      </w:r>
    </w:p>
    <w:p w14:paraId="6FE3B202">
      <w:pPr>
        <w:wordWrap w:val="0"/>
        <w:spacing w:before="200" w:line="360" w:lineRule="auto"/>
        <w:ind w:firstLine="840"/>
        <w:jc w:val="both"/>
        <w:rPr>
          <w:rFonts w:hint="eastAsia" w:ascii="仿宋" w:hAnsi="仿宋" w:eastAsia="仿宋" w:cs="仿宋"/>
          <w:sz w:val="32"/>
          <w:szCs w:val="32"/>
        </w:rPr>
      </w:pPr>
      <w:r>
        <w:rPr>
          <w:rFonts w:hint="eastAsia" w:ascii="仿宋" w:hAnsi="仿宋" w:eastAsia="仿宋" w:cs="仿宋"/>
          <w:b/>
          <w:color w:val="000000"/>
          <w:sz w:val="32"/>
          <w:szCs w:val="32"/>
        </w:rPr>
        <w:t>（一）自评分数</w:t>
      </w:r>
    </w:p>
    <w:p w14:paraId="1E505D2C">
      <w:pPr>
        <w:wordWrap w:val="0"/>
        <w:spacing w:before="204" w:line="360" w:lineRule="auto"/>
        <w:ind w:left="20" w:right="220" w:firstLine="680"/>
        <w:jc w:val="both"/>
        <w:rPr>
          <w:rFonts w:hint="eastAsia" w:ascii="仿宋" w:hAnsi="仿宋" w:eastAsia="仿宋" w:cs="仿宋"/>
          <w:sz w:val="32"/>
          <w:szCs w:val="32"/>
        </w:rPr>
        <w:sectPr>
          <w:headerReference r:id="rId7" w:type="default"/>
          <w:footerReference r:id="rId8" w:type="default"/>
          <w:type w:val="continuous"/>
          <w:pgSz w:w="11900" w:h="16820"/>
          <w:pgMar w:top="1920" w:right="1200" w:bottom="1440" w:left="1200" w:header="960" w:footer="720" w:gutter="0"/>
          <w:cols w:space="720" w:num="1"/>
        </w:sectPr>
      </w:pPr>
      <w:r>
        <w:rPr>
          <w:rFonts w:hint="eastAsia" w:ascii="仿宋" w:hAnsi="仿宋" w:eastAsia="仿宋" w:cs="仿宋"/>
          <w:color w:val="000000"/>
          <w:sz w:val="32"/>
          <w:szCs w:val="32"/>
        </w:rPr>
        <w:t>按照《广东省财政厅关于开展2024年省级财政资金绩效自评工作的通知》和《广东省体育局关于做好2024年省级财政资金绩效自评工作的通知》的要求，以及项目绩效自评信息指标评分表的标准，2023年文化繁荣发展专项资金（竞技体育）项目分</w:t>
      </w:r>
    </w:p>
    <w:p w14:paraId="3BC654EC">
      <w:pPr>
        <w:wordWrap w:val="0"/>
        <w:spacing w:line="360" w:lineRule="auto"/>
        <w:ind w:left="20" w:right="300" w:firstLine="20"/>
        <w:jc w:val="both"/>
        <w:rPr>
          <w:rFonts w:hint="eastAsia" w:ascii="仿宋" w:hAnsi="仿宋" w:eastAsia="仿宋" w:cs="仿宋"/>
          <w:sz w:val="32"/>
          <w:szCs w:val="32"/>
        </w:rPr>
      </w:pPr>
      <w:r>
        <w:rPr>
          <w:rFonts w:hint="eastAsia" w:ascii="仿宋" w:hAnsi="仿宋" w:eastAsia="仿宋" w:cs="仿宋"/>
          <w:color w:val="000000"/>
          <w:sz w:val="32"/>
          <w:szCs w:val="32"/>
        </w:rPr>
        <w:t>别从过程、产出、效益三个方面进行逐一评分。指标自评采取定性与定量分析相结合的评价方法，对绩效完成情况进行自评，该项目一级指标得分情况见表2-1所示。</w:t>
      </w: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page">
              <wp:posOffset>7289800</wp:posOffset>
            </wp:positionH>
            <wp:positionV relativeFrom="page">
              <wp:posOffset>6045200</wp:posOffset>
            </wp:positionV>
            <wp:extent cx="228600" cy="1574800"/>
            <wp:effectExtent l="0" t="0" r="2540" b="4445"/>
            <wp:wrapNone/>
            <wp:docPr id="5"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MP"/>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28600" cy="1574800"/>
                    </a:xfrm>
                    <a:prstGeom prst="rect">
                      <a:avLst/>
                    </a:prstGeom>
                  </pic:spPr>
                </pic:pic>
              </a:graphicData>
            </a:graphic>
          </wp:anchor>
        </w:drawing>
      </w:r>
    </w:p>
    <w:p w14:paraId="21CAE26C">
      <w:pPr>
        <w:wordWrap w:val="0"/>
        <w:spacing w:line="360" w:lineRule="auto"/>
        <w:jc w:val="center"/>
        <w:rPr>
          <w:rFonts w:hint="eastAsia" w:ascii="仿宋" w:hAnsi="仿宋" w:eastAsia="仿宋" w:cs="仿宋"/>
          <w:sz w:val="32"/>
          <w:szCs w:val="32"/>
        </w:rPr>
      </w:pPr>
      <w:r>
        <w:rPr>
          <w:rFonts w:hint="eastAsia" w:ascii="仿宋" w:hAnsi="仿宋" w:eastAsia="仿宋" w:cs="仿宋"/>
          <w:b/>
          <w:color w:val="000000"/>
          <w:sz w:val="32"/>
          <w:szCs w:val="32"/>
        </w:rPr>
        <w:t>表2-1 项目一级指标得分情况表</w:t>
      </w:r>
    </w:p>
    <w:p w14:paraId="0DD31B3E">
      <w:pPr>
        <w:wordWrap w:val="0"/>
        <w:spacing w:line="360" w:lineRule="auto"/>
        <w:ind w:firstLine="0"/>
        <w:jc w:val="both"/>
        <w:rPr>
          <w:rFonts w:hint="eastAsia" w:ascii="仿宋" w:hAnsi="仿宋" w:eastAsia="仿宋" w:cs="仿宋"/>
          <w:color w:val="000000"/>
          <w:sz w:val="32"/>
          <w:szCs w:val="32"/>
        </w:rPr>
      </w:pPr>
    </w:p>
    <w:tbl>
      <w:tblPr>
        <w:tblStyle w:val="4"/>
        <w:tblW w:w="0" w:type="auto"/>
        <w:tblInd w:w="90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 w:type="dxa"/>
          <w:bottom w:w="0" w:type="dxa"/>
          <w:right w:w="10" w:type="dxa"/>
        </w:tblCellMar>
      </w:tblPr>
      <w:tblGrid>
        <w:gridCol w:w="1880"/>
        <w:gridCol w:w="1590"/>
        <w:gridCol w:w="2865"/>
        <w:gridCol w:w="2280"/>
      </w:tblGrid>
      <w:tr w14:paraId="63ED835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60" w:hRule="atLeast"/>
        </w:trPr>
        <w:tc>
          <w:tcPr>
            <w:tcW w:w="1880" w:type="dxa"/>
            <w:tcBorders>
              <w:top w:val="single" w:color="000000" w:sz="4" w:space="0"/>
              <w:left w:val="single" w:color="000000" w:sz="4" w:space="0"/>
              <w:bottom w:val="single" w:color="000000" w:sz="4" w:space="0"/>
              <w:right w:val="single" w:color="000000" w:sz="4" w:space="0"/>
            </w:tcBorders>
            <w:vAlign w:val="top"/>
          </w:tcPr>
          <w:p w14:paraId="27A3E79A">
            <w:pPr>
              <w:spacing w:line="360" w:lineRule="auto"/>
              <w:jc w:val="center"/>
              <w:rPr>
                <w:rFonts w:hint="eastAsia" w:ascii="仿宋" w:hAnsi="仿宋" w:eastAsia="仿宋" w:cs="仿宋"/>
                <w:color w:val="000000"/>
                <w:sz w:val="32"/>
                <w:szCs w:val="32"/>
              </w:rPr>
            </w:pPr>
          </w:p>
          <w:p w14:paraId="05D41812">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一级指标</w:t>
            </w:r>
          </w:p>
        </w:tc>
        <w:tc>
          <w:tcPr>
            <w:tcW w:w="1590" w:type="dxa"/>
            <w:tcBorders>
              <w:top w:val="single" w:color="000000" w:sz="4" w:space="0"/>
              <w:left w:val="single" w:color="000000" w:sz="4" w:space="0"/>
              <w:bottom w:val="single" w:color="000000" w:sz="4" w:space="0"/>
              <w:right w:val="single" w:color="000000" w:sz="4" w:space="0"/>
            </w:tcBorders>
            <w:vAlign w:val="top"/>
          </w:tcPr>
          <w:p w14:paraId="0D7F7F79">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分值</w:t>
            </w:r>
          </w:p>
        </w:tc>
        <w:tc>
          <w:tcPr>
            <w:tcW w:w="2865" w:type="dxa"/>
            <w:tcBorders>
              <w:top w:val="single" w:color="000000" w:sz="4" w:space="0"/>
              <w:left w:val="single" w:color="000000" w:sz="4" w:space="0"/>
              <w:bottom w:val="single" w:color="000000" w:sz="4" w:space="0"/>
              <w:right w:val="single" w:color="000000" w:sz="4" w:space="0"/>
            </w:tcBorders>
            <w:vAlign w:val="top"/>
          </w:tcPr>
          <w:p w14:paraId="0EE6F8AA">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备战重大体育赛事</w:t>
            </w:r>
          </w:p>
        </w:tc>
        <w:tc>
          <w:tcPr>
            <w:tcW w:w="2280" w:type="dxa"/>
            <w:tcBorders>
              <w:top w:val="single" w:color="000000" w:sz="4" w:space="0"/>
              <w:left w:val="single" w:color="000000" w:sz="4" w:space="0"/>
              <w:bottom w:val="single" w:color="000000" w:sz="4" w:space="0"/>
              <w:right w:val="single" w:color="000000" w:sz="4" w:space="0"/>
            </w:tcBorders>
            <w:vAlign w:val="top"/>
          </w:tcPr>
          <w:p w14:paraId="4E02D062">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运动队保障</w:t>
            </w:r>
          </w:p>
        </w:tc>
      </w:tr>
      <w:tr w14:paraId="1D1DE67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1880" w:type="dxa"/>
            <w:tcBorders>
              <w:top w:val="single" w:color="000000" w:sz="4" w:space="0"/>
              <w:left w:val="single" w:color="000000" w:sz="4" w:space="0"/>
              <w:bottom w:val="single" w:color="000000" w:sz="4" w:space="0"/>
              <w:right w:val="single" w:color="000000" w:sz="4" w:space="0"/>
            </w:tcBorders>
            <w:vAlign w:val="top"/>
          </w:tcPr>
          <w:p w14:paraId="7DD28B96">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过程</w:t>
            </w:r>
          </w:p>
        </w:tc>
        <w:tc>
          <w:tcPr>
            <w:tcW w:w="1590" w:type="dxa"/>
            <w:tcBorders>
              <w:top w:val="single" w:color="000000" w:sz="4" w:space="0"/>
              <w:left w:val="single" w:color="000000" w:sz="4" w:space="0"/>
              <w:bottom w:val="single" w:color="000000" w:sz="4" w:space="0"/>
              <w:right w:val="single" w:color="000000" w:sz="4" w:space="0"/>
            </w:tcBorders>
            <w:vAlign w:val="top"/>
          </w:tcPr>
          <w:p w14:paraId="1410B5EB">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20</w:t>
            </w:r>
          </w:p>
        </w:tc>
        <w:tc>
          <w:tcPr>
            <w:tcW w:w="2865" w:type="dxa"/>
            <w:tcBorders>
              <w:top w:val="single" w:color="000000" w:sz="4" w:space="0"/>
              <w:left w:val="single" w:color="000000" w:sz="4" w:space="0"/>
              <w:bottom w:val="single" w:color="000000" w:sz="4" w:space="0"/>
              <w:right w:val="single" w:color="000000" w:sz="4" w:space="0"/>
            </w:tcBorders>
            <w:vAlign w:val="top"/>
          </w:tcPr>
          <w:p w14:paraId="7201C2E9">
            <w:pPr>
              <w:spacing w:line="360" w:lineRule="auto"/>
              <w:jc w:val="center"/>
              <w:rPr>
                <w:rFonts w:hint="eastAsia" w:ascii="仿宋" w:hAnsi="仿宋" w:eastAsia="仿宋" w:cs="仿宋"/>
                <w:sz w:val="32"/>
                <w:szCs w:val="32"/>
                <w:lang w:val="en-US" w:eastAsia="zh-CN"/>
              </w:rPr>
            </w:pPr>
            <w:r>
              <w:rPr>
                <w:rFonts w:hint="eastAsia" w:ascii="仿宋" w:hAnsi="仿宋" w:eastAsia="仿宋" w:cs="仿宋"/>
                <w:color w:val="000000"/>
                <w:sz w:val="32"/>
                <w:szCs w:val="32"/>
              </w:rPr>
              <w:t>19.</w:t>
            </w:r>
            <w:r>
              <w:rPr>
                <w:rFonts w:hint="eastAsia" w:ascii="仿宋" w:hAnsi="仿宋" w:eastAsia="仿宋" w:cs="仿宋"/>
                <w:color w:val="000000"/>
                <w:sz w:val="32"/>
                <w:szCs w:val="32"/>
                <w:lang w:val="en-US" w:eastAsia="zh-CN"/>
              </w:rPr>
              <w:t>26</w:t>
            </w:r>
          </w:p>
        </w:tc>
        <w:tc>
          <w:tcPr>
            <w:tcW w:w="2280" w:type="dxa"/>
            <w:tcBorders>
              <w:top w:val="single" w:color="000000" w:sz="4" w:space="0"/>
              <w:left w:val="single" w:color="000000" w:sz="4" w:space="0"/>
              <w:bottom w:val="single" w:color="000000" w:sz="4" w:space="0"/>
              <w:right w:val="single" w:color="000000" w:sz="4" w:space="0"/>
            </w:tcBorders>
            <w:vAlign w:val="top"/>
          </w:tcPr>
          <w:p w14:paraId="43BA05F4">
            <w:pPr>
              <w:spacing w:line="360" w:lineRule="auto"/>
              <w:jc w:val="center"/>
              <w:rPr>
                <w:rFonts w:hint="eastAsia" w:ascii="仿宋" w:hAnsi="仿宋" w:eastAsia="仿宋" w:cs="仿宋"/>
                <w:sz w:val="32"/>
                <w:szCs w:val="32"/>
                <w:lang w:eastAsia="zh-CN"/>
              </w:rPr>
            </w:pPr>
            <w:r>
              <w:rPr>
                <w:rFonts w:hint="eastAsia" w:ascii="仿宋" w:hAnsi="仿宋" w:eastAsia="仿宋" w:cs="仿宋"/>
                <w:color w:val="000000"/>
                <w:sz w:val="32"/>
                <w:szCs w:val="32"/>
              </w:rPr>
              <w:t>16.</w:t>
            </w:r>
            <w:r>
              <w:rPr>
                <w:rFonts w:hint="eastAsia" w:ascii="仿宋" w:hAnsi="仿宋" w:eastAsia="仿宋" w:cs="仿宋"/>
                <w:color w:val="000000"/>
                <w:sz w:val="32"/>
                <w:szCs w:val="32"/>
                <w:lang w:val="en-US" w:eastAsia="zh-CN"/>
              </w:rPr>
              <w:t>6</w:t>
            </w:r>
          </w:p>
        </w:tc>
      </w:tr>
      <w:tr w14:paraId="53D6213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1880" w:type="dxa"/>
            <w:tcBorders>
              <w:top w:val="single" w:color="000000" w:sz="4" w:space="0"/>
              <w:left w:val="single" w:color="000000" w:sz="4" w:space="0"/>
              <w:bottom w:val="single" w:color="000000" w:sz="4" w:space="0"/>
              <w:right w:val="single" w:color="000000" w:sz="4" w:space="0"/>
            </w:tcBorders>
            <w:vAlign w:val="top"/>
          </w:tcPr>
          <w:p w14:paraId="55175224">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产出</w:t>
            </w:r>
          </w:p>
        </w:tc>
        <w:tc>
          <w:tcPr>
            <w:tcW w:w="1590" w:type="dxa"/>
            <w:tcBorders>
              <w:top w:val="single" w:color="000000" w:sz="4" w:space="0"/>
              <w:left w:val="single" w:color="000000" w:sz="4" w:space="0"/>
              <w:bottom w:val="single" w:color="000000" w:sz="4" w:space="0"/>
              <w:right w:val="single" w:color="000000" w:sz="4" w:space="0"/>
            </w:tcBorders>
            <w:vAlign w:val="top"/>
          </w:tcPr>
          <w:p w14:paraId="46A047C8">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40</w:t>
            </w:r>
          </w:p>
        </w:tc>
        <w:tc>
          <w:tcPr>
            <w:tcW w:w="2865" w:type="dxa"/>
            <w:tcBorders>
              <w:top w:val="single" w:color="000000" w:sz="4" w:space="0"/>
              <w:left w:val="single" w:color="000000" w:sz="4" w:space="0"/>
              <w:bottom w:val="single" w:color="000000" w:sz="4" w:space="0"/>
              <w:right w:val="single" w:color="000000" w:sz="4" w:space="0"/>
            </w:tcBorders>
            <w:vAlign w:val="top"/>
          </w:tcPr>
          <w:p w14:paraId="6291E3C3">
            <w:pPr>
              <w:spacing w:line="360" w:lineRule="auto"/>
              <w:jc w:val="center"/>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39.5</w:t>
            </w:r>
          </w:p>
        </w:tc>
        <w:tc>
          <w:tcPr>
            <w:tcW w:w="2280" w:type="dxa"/>
            <w:tcBorders>
              <w:top w:val="single" w:color="000000" w:sz="4" w:space="0"/>
              <w:left w:val="single" w:color="000000" w:sz="4" w:space="0"/>
              <w:bottom w:val="single" w:color="000000" w:sz="4" w:space="0"/>
              <w:right w:val="single" w:color="000000" w:sz="4" w:space="0"/>
            </w:tcBorders>
            <w:vAlign w:val="top"/>
          </w:tcPr>
          <w:p w14:paraId="73874E68">
            <w:pPr>
              <w:spacing w:line="360" w:lineRule="auto"/>
              <w:jc w:val="center"/>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17</w:t>
            </w:r>
          </w:p>
        </w:tc>
      </w:tr>
      <w:tr w14:paraId="6EDC675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trPr>
        <w:tc>
          <w:tcPr>
            <w:tcW w:w="1880" w:type="dxa"/>
            <w:tcBorders>
              <w:top w:val="single" w:color="000000" w:sz="4" w:space="0"/>
              <w:left w:val="single" w:color="000000" w:sz="4" w:space="0"/>
              <w:bottom w:val="single" w:color="000000" w:sz="4" w:space="0"/>
              <w:right w:val="single" w:color="000000" w:sz="4" w:space="0"/>
            </w:tcBorders>
            <w:vAlign w:val="top"/>
          </w:tcPr>
          <w:p w14:paraId="06533B5E">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效益</w:t>
            </w:r>
          </w:p>
        </w:tc>
        <w:tc>
          <w:tcPr>
            <w:tcW w:w="1590" w:type="dxa"/>
            <w:tcBorders>
              <w:top w:val="single" w:color="000000" w:sz="4" w:space="0"/>
              <w:left w:val="single" w:color="000000" w:sz="4" w:space="0"/>
              <w:bottom w:val="single" w:color="000000" w:sz="4" w:space="0"/>
              <w:right w:val="single" w:color="000000" w:sz="4" w:space="0"/>
            </w:tcBorders>
            <w:vAlign w:val="top"/>
          </w:tcPr>
          <w:p w14:paraId="29B78E7A">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40</w:t>
            </w:r>
          </w:p>
        </w:tc>
        <w:tc>
          <w:tcPr>
            <w:tcW w:w="2865" w:type="dxa"/>
            <w:tcBorders>
              <w:top w:val="single" w:color="000000" w:sz="4" w:space="0"/>
              <w:left w:val="single" w:color="000000" w:sz="4" w:space="0"/>
              <w:bottom w:val="single" w:color="000000" w:sz="4" w:space="0"/>
              <w:right w:val="single" w:color="000000" w:sz="4" w:space="0"/>
            </w:tcBorders>
            <w:vAlign w:val="top"/>
          </w:tcPr>
          <w:p w14:paraId="12424228">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40</w:t>
            </w:r>
          </w:p>
        </w:tc>
        <w:tc>
          <w:tcPr>
            <w:tcW w:w="2280" w:type="dxa"/>
            <w:tcBorders>
              <w:top w:val="single" w:color="000000" w:sz="4" w:space="0"/>
              <w:left w:val="single" w:color="000000" w:sz="4" w:space="0"/>
              <w:bottom w:val="single" w:color="000000" w:sz="4" w:space="0"/>
              <w:right w:val="single" w:color="000000" w:sz="4" w:space="0"/>
            </w:tcBorders>
            <w:vAlign w:val="top"/>
          </w:tcPr>
          <w:p w14:paraId="14FF1FF5">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w:t>
            </w:r>
          </w:p>
        </w:tc>
      </w:tr>
      <w:tr w14:paraId="2DDC20A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0" w:hRule="atLeast"/>
        </w:trPr>
        <w:tc>
          <w:tcPr>
            <w:tcW w:w="1880" w:type="dxa"/>
            <w:tcBorders>
              <w:top w:val="single" w:color="000000" w:sz="4" w:space="0"/>
              <w:left w:val="single" w:color="000000" w:sz="4" w:space="0"/>
              <w:bottom w:val="single" w:color="000000" w:sz="4" w:space="0"/>
              <w:right w:val="single" w:color="000000" w:sz="4" w:space="0"/>
            </w:tcBorders>
            <w:vAlign w:val="top"/>
          </w:tcPr>
          <w:p w14:paraId="6564B7FD">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合计</w:t>
            </w:r>
          </w:p>
        </w:tc>
        <w:tc>
          <w:tcPr>
            <w:tcW w:w="1590" w:type="dxa"/>
            <w:tcBorders>
              <w:top w:val="single" w:color="000000" w:sz="4" w:space="0"/>
              <w:left w:val="single" w:color="000000" w:sz="4" w:space="0"/>
              <w:bottom w:val="single" w:color="000000" w:sz="4" w:space="0"/>
              <w:right w:val="single" w:color="000000" w:sz="4" w:space="0"/>
            </w:tcBorders>
            <w:vAlign w:val="top"/>
          </w:tcPr>
          <w:p w14:paraId="000FC10A">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100</w:t>
            </w:r>
          </w:p>
        </w:tc>
        <w:tc>
          <w:tcPr>
            <w:tcW w:w="2865" w:type="dxa"/>
            <w:tcBorders>
              <w:top w:val="single" w:color="000000" w:sz="4" w:space="0"/>
              <w:left w:val="single" w:color="000000" w:sz="4" w:space="0"/>
              <w:bottom w:val="single" w:color="000000" w:sz="4" w:space="0"/>
              <w:right w:val="single" w:color="000000" w:sz="4" w:space="0"/>
            </w:tcBorders>
            <w:vAlign w:val="top"/>
          </w:tcPr>
          <w:p w14:paraId="191377CA">
            <w:pPr>
              <w:spacing w:line="360" w:lineRule="auto"/>
              <w:jc w:val="center"/>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98.76</w:t>
            </w:r>
          </w:p>
        </w:tc>
        <w:tc>
          <w:tcPr>
            <w:tcW w:w="2280" w:type="dxa"/>
            <w:tcBorders>
              <w:top w:val="single" w:color="000000" w:sz="4" w:space="0"/>
              <w:left w:val="single" w:color="000000" w:sz="4" w:space="0"/>
              <w:bottom w:val="single" w:color="000000" w:sz="4" w:space="0"/>
              <w:right w:val="single" w:color="000000" w:sz="4" w:space="0"/>
            </w:tcBorders>
            <w:vAlign w:val="top"/>
          </w:tcPr>
          <w:p w14:paraId="2495AED5">
            <w:pPr>
              <w:spacing w:line="360" w:lineRule="auto"/>
              <w:jc w:val="center"/>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71.6</w:t>
            </w:r>
          </w:p>
        </w:tc>
      </w:tr>
    </w:tbl>
    <w:p w14:paraId="2FBAB2A9">
      <w:pPr>
        <w:wordWrap w:val="0"/>
        <w:spacing w:line="360" w:lineRule="auto"/>
        <w:ind w:left="40" w:right="280" w:firstLine="620"/>
        <w:jc w:val="both"/>
        <w:rPr>
          <w:rFonts w:hint="eastAsia" w:ascii="仿宋" w:hAnsi="仿宋" w:eastAsia="仿宋" w:cs="仿宋"/>
          <w:sz w:val="32"/>
          <w:szCs w:val="32"/>
          <w:lang w:val="en-US" w:eastAsia="zh-CN"/>
        </w:rPr>
        <w:sectPr>
          <w:headerReference r:id="rId9" w:type="default"/>
          <w:footerReference r:id="rId10" w:type="default"/>
          <w:type w:val="continuous"/>
          <w:pgSz w:w="11900" w:h="16820"/>
          <w:pgMar w:top="1920" w:right="1200" w:bottom="1680" w:left="1200" w:header="960" w:footer="840" w:gutter="0"/>
          <w:cols w:space="720" w:num="1"/>
        </w:sectPr>
      </w:pPr>
      <w:r>
        <w:rPr>
          <w:rFonts w:hint="eastAsia" w:ascii="仿宋" w:hAnsi="仿宋" w:eastAsia="仿宋" w:cs="仿宋"/>
          <w:color w:val="000000"/>
          <w:sz w:val="32"/>
          <w:szCs w:val="32"/>
          <w:lang w:val="en-US" w:eastAsia="zh-CN"/>
        </w:rPr>
        <w:t>海上</w:t>
      </w:r>
      <w:r>
        <w:rPr>
          <w:rFonts w:hint="eastAsia" w:ascii="仿宋" w:hAnsi="仿宋" w:eastAsia="仿宋" w:cs="仿宋"/>
          <w:color w:val="000000"/>
          <w:sz w:val="32"/>
          <w:szCs w:val="32"/>
        </w:rPr>
        <w:t>中心2023年“备战重大体育赛事”项目绩效指标得分为</w:t>
      </w:r>
      <w:r>
        <w:rPr>
          <w:rFonts w:hint="eastAsia" w:ascii="仿宋" w:hAnsi="仿宋" w:eastAsia="仿宋" w:cs="仿宋"/>
          <w:color w:val="000000"/>
          <w:sz w:val="32"/>
          <w:szCs w:val="32"/>
          <w:lang w:val="en-US" w:eastAsia="zh-CN"/>
        </w:rPr>
        <w:t>98.76</w:t>
      </w:r>
      <w:r>
        <w:rPr>
          <w:rFonts w:hint="eastAsia" w:ascii="仿宋" w:hAnsi="仿宋" w:eastAsia="仿宋" w:cs="仿宋"/>
          <w:color w:val="000000"/>
          <w:sz w:val="32"/>
          <w:szCs w:val="32"/>
        </w:rPr>
        <w:t>分、“运动队保障”项目绩效指标得分为</w:t>
      </w:r>
      <w:r>
        <w:rPr>
          <w:rFonts w:hint="eastAsia" w:ascii="仿宋" w:hAnsi="仿宋" w:eastAsia="仿宋" w:cs="仿宋"/>
          <w:color w:val="000000"/>
          <w:sz w:val="32"/>
          <w:szCs w:val="32"/>
          <w:lang w:val="en-US" w:eastAsia="zh-CN"/>
        </w:rPr>
        <w:t>71.6</w:t>
      </w:r>
      <w:r>
        <w:rPr>
          <w:rFonts w:hint="eastAsia" w:ascii="仿宋" w:hAnsi="仿宋" w:eastAsia="仿宋" w:cs="仿宋"/>
          <w:color w:val="000000"/>
          <w:sz w:val="32"/>
          <w:szCs w:val="32"/>
        </w:rPr>
        <w:t>分、按照各专项资金额度占比加权平均计算自评分数，其中，“备战重大体育赛事”项目</w:t>
      </w:r>
      <w:r>
        <w:rPr>
          <w:rFonts w:hint="eastAsia" w:ascii="仿宋" w:hAnsi="仿宋" w:eastAsia="仿宋" w:cs="仿宋"/>
          <w:color w:val="000000"/>
          <w:sz w:val="32"/>
          <w:szCs w:val="32"/>
          <w:lang w:val="en-US" w:eastAsia="zh-CN"/>
        </w:rPr>
        <w:t>2812.69</w:t>
      </w:r>
      <w:r>
        <w:rPr>
          <w:rFonts w:hint="eastAsia" w:ascii="仿宋" w:hAnsi="仿宋" w:eastAsia="仿宋" w:cs="仿宋"/>
          <w:color w:val="000000"/>
          <w:sz w:val="32"/>
          <w:szCs w:val="32"/>
        </w:rPr>
        <w:t>万元，占专项资金总额</w:t>
      </w:r>
      <w:r>
        <w:rPr>
          <w:rFonts w:hint="eastAsia" w:ascii="仿宋" w:hAnsi="仿宋" w:eastAsia="仿宋" w:cs="仿宋"/>
          <w:color w:val="000000"/>
          <w:sz w:val="32"/>
          <w:szCs w:val="32"/>
          <w:lang w:val="en-US" w:eastAsia="zh-CN"/>
        </w:rPr>
        <w:t>84.98</w:t>
      </w:r>
      <w:r>
        <w:rPr>
          <w:rFonts w:hint="eastAsia" w:ascii="仿宋" w:hAnsi="仿宋" w:eastAsia="仿宋" w:cs="仿宋"/>
          <w:color w:val="000000"/>
          <w:sz w:val="32"/>
          <w:szCs w:val="32"/>
        </w:rPr>
        <w:t>％；“运动队保障”项目</w:t>
      </w:r>
      <w:r>
        <w:rPr>
          <w:rFonts w:hint="eastAsia" w:ascii="仿宋" w:hAnsi="仿宋" w:eastAsia="仿宋" w:cs="仿宋"/>
          <w:color w:val="000000"/>
          <w:sz w:val="32"/>
          <w:szCs w:val="32"/>
          <w:lang w:val="en-US" w:eastAsia="zh-CN"/>
        </w:rPr>
        <w:t>497.3</w:t>
      </w:r>
      <w:r>
        <w:rPr>
          <w:rFonts w:hint="eastAsia" w:ascii="仿宋" w:hAnsi="仿宋" w:eastAsia="仿宋" w:cs="仿宋"/>
          <w:color w:val="000000"/>
          <w:sz w:val="32"/>
          <w:szCs w:val="32"/>
        </w:rPr>
        <w:t>万元，占专项资金总额</w:t>
      </w:r>
      <w:r>
        <w:rPr>
          <w:rFonts w:hint="eastAsia" w:ascii="仿宋" w:hAnsi="仿宋" w:eastAsia="仿宋" w:cs="仿宋"/>
          <w:color w:val="000000"/>
          <w:sz w:val="32"/>
          <w:szCs w:val="32"/>
          <w:lang w:val="en-US" w:eastAsia="zh-CN"/>
        </w:rPr>
        <w:t>15.02</w:t>
      </w:r>
      <w:r>
        <w:rPr>
          <w:rFonts w:hint="eastAsia" w:ascii="仿宋" w:hAnsi="仿宋" w:eastAsia="仿宋" w:cs="仿宋"/>
          <w:color w:val="000000"/>
          <w:sz w:val="32"/>
          <w:szCs w:val="32"/>
        </w:rPr>
        <w:t>％；“各专项资金项目加权平均后自评分数为</w:t>
      </w:r>
      <w:r>
        <w:rPr>
          <w:rFonts w:hint="eastAsia" w:ascii="仿宋" w:hAnsi="仿宋" w:eastAsia="仿宋" w:cs="仿宋"/>
          <w:color w:val="000000"/>
          <w:sz w:val="32"/>
          <w:szCs w:val="32"/>
          <w:lang w:val="en-US" w:eastAsia="zh-CN"/>
        </w:rPr>
        <w:t>94.68</w:t>
      </w:r>
      <w:r>
        <w:rPr>
          <w:rFonts w:hint="eastAsia" w:ascii="仿宋" w:hAnsi="仿宋" w:eastAsia="仿宋" w:cs="仿宋"/>
          <w:color w:val="000000"/>
          <w:sz w:val="32"/>
          <w:szCs w:val="32"/>
        </w:rPr>
        <w:t>分，自评等级为优，以下对自评综合得分具体情况进行分析</w:t>
      </w:r>
      <w:r>
        <w:rPr>
          <w:rFonts w:hint="eastAsia" w:ascii="仿宋" w:hAnsi="仿宋" w:eastAsia="仿宋" w:cs="仿宋"/>
          <w:color w:val="000000"/>
          <w:sz w:val="32"/>
          <w:szCs w:val="32"/>
          <w:lang w:val="en-US" w:eastAsia="zh-CN"/>
        </w:rPr>
        <w:t>.</w:t>
      </w:r>
    </w:p>
    <w:p w14:paraId="33813F17">
      <w:pPr>
        <w:wordWrap w:val="0"/>
        <w:spacing w:before="2" w:line="360" w:lineRule="auto"/>
        <w:ind w:firstLine="643" w:firstLineChars="200"/>
        <w:jc w:val="both"/>
        <w:rPr>
          <w:rFonts w:hint="eastAsia" w:ascii="仿宋" w:hAnsi="仿宋" w:eastAsia="仿宋" w:cs="仿宋"/>
          <w:sz w:val="32"/>
          <w:szCs w:val="32"/>
        </w:rPr>
      </w:pPr>
      <w:r>
        <w:rPr>
          <w:rFonts w:hint="eastAsia" w:ascii="仿宋" w:hAnsi="仿宋" w:eastAsia="仿宋" w:cs="仿宋"/>
          <w:b/>
          <w:color w:val="000000"/>
          <w:sz w:val="32"/>
          <w:szCs w:val="32"/>
        </w:rPr>
        <w:t>（二）专项资金使用绩效</w:t>
      </w:r>
    </w:p>
    <w:p w14:paraId="145B9B25">
      <w:pPr>
        <w:wordWrap w:val="0"/>
        <w:spacing w:line="360" w:lineRule="auto"/>
        <w:ind w:firstLine="700"/>
        <w:jc w:val="both"/>
        <w:rPr>
          <w:rFonts w:hint="eastAsia" w:ascii="仿宋" w:hAnsi="仿宋" w:eastAsia="仿宋" w:cs="仿宋"/>
          <w:color w:val="000000"/>
          <w:sz w:val="32"/>
          <w:szCs w:val="32"/>
        </w:rPr>
      </w:pPr>
      <w:r>
        <w:rPr>
          <w:rFonts w:hint="eastAsia" w:ascii="仿宋" w:hAnsi="仿宋" w:eastAsia="仿宋" w:cs="仿宋"/>
          <w:color w:val="000000"/>
          <w:sz w:val="32"/>
          <w:szCs w:val="32"/>
        </w:rPr>
        <w:t>1．专项资金支出情况。</w:t>
      </w:r>
    </w:p>
    <w:p w14:paraId="6467F5F3">
      <w:pPr>
        <w:wordWrap w:val="0"/>
        <w:spacing w:before="168" w:line="360" w:lineRule="auto"/>
        <w:ind w:left="20" w:right="340" w:firstLine="640"/>
        <w:jc w:val="both"/>
        <w:rPr>
          <w:rFonts w:hint="eastAsia" w:ascii="仿宋" w:hAnsi="仿宋" w:eastAsia="仿宋" w:cs="仿宋"/>
          <w:color w:val="000000"/>
          <w:sz w:val="32"/>
          <w:szCs w:val="32"/>
        </w:rPr>
      </w:pPr>
      <w:r>
        <w:rPr>
          <w:rFonts w:hint="eastAsia" w:ascii="仿宋" w:hAnsi="仿宋" w:eastAsia="仿宋" w:cs="仿宋"/>
          <w:color w:val="000000"/>
          <w:sz w:val="32"/>
          <w:szCs w:val="32"/>
        </w:rPr>
        <w:t>截止2023年12月31日，“竞技体育项目”实际支出金额为</w:t>
      </w:r>
      <w:r>
        <w:rPr>
          <w:rFonts w:hint="eastAsia" w:ascii="仿宋" w:hAnsi="仿宋" w:eastAsia="仿宋" w:cs="仿宋"/>
          <w:color w:val="000000"/>
          <w:sz w:val="32"/>
          <w:szCs w:val="32"/>
          <w:lang w:val="en-US" w:eastAsia="zh-CN"/>
        </w:rPr>
        <w:t>3044.66</w:t>
      </w:r>
      <w:r>
        <w:rPr>
          <w:rFonts w:hint="eastAsia" w:ascii="仿宋" w:hAnsi="仿宋" w:eastAsia="仿宋" w:cs="仿宋"/>
          <w:color w:val="000000"/>
          <w:sz w:val="32"/>
          <w:szCs w:val="32"/>
        </w:rPr>
        <w:t>万元，专项资金支出率为89.51％。其中：“备战重大体育赛事项目”预算收入为</w:t>
      </w:r>
      <w:r>
        <w:rPr>
          <w:rFonts w:hint="eastAsia" w:ascii="仿宋" w:hAnsi="仿宋" w:eastAsia="仿宋" w:cs="仿宋"/>
          <w:color w:val="000000"/>
          <w:sz w:val="32"/>
          <w:szCs w:val="32"/>
          <w:lang w:val="en-US" w:eastAsia="zh-CN"/>
        </w:rPr>
        <w:t>2812.69</w:t>
      </w:r>
      <w:r>
        <w:rPr>
          <w:rFonts w:hint="eastAsia" w:ascii="仿宋" w:hAnsi="仿宋" w:eastAsia="仿宋" w:cs="仿宋"/>
          <w:color w:val="000000"/>
          <w:sz w:val="32"/>
          <w:szCs w:val="32"/>
        </w:rPr>
        <w:t>万元，预算执行率为</w:t>
      </w:r>
      <w:r>
        <w:rPr>
          <w:rFonts w:hint="eastAsia" w:ascii="仿宋" w:hAnsi="仿宋" w:eastAsia="仿宋" w:cs="仿宋"/>
          <w:color w:val="000000"/>
          <w:sz w:val="32"/>
          <w:szCs w:val="32"/>
          <w:lang w:val="en-US" w:eastAsia="zh-CN"/>
        </w:rPr>
        <w:t>96.02</w:t>
      </w:r>
      <w:r>
        <w:rPr>
          <w:rFonts w:hint="eastAsia" w:ascii="仿宋" w:hAnsi="仿宋" w:eastAsia="仿宋" w:cs="仿宋"/>
          <w:color w:val="000000"/>
          <w:sz w:val="32"/>
          <w:szCs w:val="32"/>
        </w:rPr>
        <w:t>％；“运动队保障项目”预算收入为</w:t>
      </w:r>
      <w:r>
        <w:rPr>
          <w:rFonts w:hint="eastAsia" w:ascii="仿宋" w:hAnsi="仿宋" w:eastAsia="仿宋" w:cs="仿宋"/>
          <w:color w:val="000000"/>
          <w:sz w:val="32"/>
          <w:szCs w:val="32"/>
          <w:lang w:val="en-US" w:eastAsia="zh-CN"/>
        </w:rPr>
        <w:t>497.3</w:t>
      </w:r>
      <w:r>
        <w:rPr>
          <w:rFonts w:hint="eastAsia" w:ascii="仿宋" w:hAnsi="仿宋" w:eastAsia="仿宋" w:cs="仿宋"/>
          <w:color w:val="000000"/>
          <w:sz w:val="32"/>
          <w:szCs w:val="32"/>
        </w:rPr>
        <w:t>万元，预算执行率为</w:t>
      </w:r>
      <w:r>
        <w:rPr>
          <w:rFonts w:hint="eastAsia" w:ascii="仿宋" w:hAnsi="仿宋" w:eastAsia="仿宋" w:cs="仿宋"/>
          <w:color w:val="000000"/>
          <w:sz w:val="32"/>
          <w:szCs w:val="32"/>
          <w:lang w:val="en-US" w:eastAsia="zh-CN"/>
        </w:rPr>
        <w:t>69.16</w:t>
      </w:r>
      <w:r>
        <w:rPr>
          <w:rFonts w:hint="eastAsia" w:ascii="仿宋" w:hAnsi="仿宋" w:eastAsia="仿宋" w:cs="仿宋"/>
          <w:color w:val="000000"/>
          <w:sz w:val="32"/>
          <w:szCs w:val="32"/>
        </w:rPr>
        <w:t>0％。</w:t>
      </w:r>
    </w:p>
    <w:p w14:paraId="4F35CCEC">
      <w:pPr>
        <w:wordWrap w:val="0"/>
        <w:spacing w:line="360" w:lineRule="auto"/>
        <w:ind w:firstLine="7389" w:firstLineChars="2300"/>
        <w:jc w:val="both"/>
        <w:rPr>
          <w:rFonts w:hint="eastAsia" w:ascii="仿宋" w:hAnsi="仿宋" w:eastAsia="仿宋" w:cs="仿宋"/>
          <w:color w:val="000000"/>
          <w:sz w:val="32"/>
          <w:szCs w:val="32"/>
        </w:rPr>
      </w:pPr>
      <w:r>
        <w:rPr>
          <w:rFonts w:hint="eastAsia" w:ascii="仿宋" w:hAnsi="仿宋" w:eastAsia="仿宋" w:cs="仿宋"/>
          <w:b/>
          <w:color w:val="000000"/>
          <w:sz w:val="32"/>
          <w:szCs w:val="32"/>
        </w:rPr>
        <w:t>（单位</w:t>
      </w:r>
      <w:r>
        <w:rPr>
          <w:rFonts w:hint="eastAsia" w:ascii="仿宋" w:hAnsi="仿宋" w:eastAsia="仿宋" w:cs="仿宋"/>
          <w:color w:val="000000"/>
          <w:sz w:val="32"/>
          <w:szCs w:val="32"/>
        </w:rPr>
        <w:t>：万元）</w:t>
      </w:r>
    </w:p>
    <w:tbl>
      <w:tblPr>
        <w:tblStyle w:val="4"/>
        <w:tblW w:w="0" w:type="auto"/>
        <w:tblInd w:w="1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686"/>
        <w:gridCol w:w="1456"/>
        <w:gridCol w:w="711"/>
        <w:gridCol w:w="1464"/>
        <w:gridCol w:w="1509"/>
        <w:gridCol w:w="1554"/>
      </w:tblGrid>
      <w:tr w14:paraId="5488CC6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2686" w:type="dxa"/>
            <w:tcBorders>
              <w:top w:val="single" w:color="000000" w:sz="4" w:space="0"/>
              <w:left w:val="single" w:color="000000" w:sz="4" w:space="0"/>
              <w:bottom w:val="single" w:color="000000" w:sz="4" w:space="0"/>
              <w:right w:val="single" w:color="000000" w:sz="4" w:space="0"/>
            </w:tcBorders>
            <w:vAlign w:val="top"/>
          </w:tcPr>
          <w:p w14:paraId="4F19519B">
            <w:pPr>
              <w:spacing w:before="56" w:line="360" w:lineRule="auto"/>
              <w:ind w:firstLine="80"/>
              <w:jc w:val="both"/>
              <w:rPr>
                <w:rFonts w:hint="eastAsia" w:ascii="仿宋" w:hAnsi="仿宋" w:eastAsia="仿宋" w:cs="仿宋"/>
                <w:sz w:val="32"/>
                <w:szCs w:val="32"/>
              </w:rPr>
            </w:pPr>
            <w:r>
              <w:rPr>
                <w:rFonts w:hint="eastAsia" w:ascii="仿宋" w:hAnsi="仿宋" w:eastAsia="仿宋" w:cs="仿宋"/>
                <w:color w:val="000000"/>
                <w:sz w:val="32"/>
                <w:szCs w:val="32"/>
              </w:rPr>
              <w:t>项目名称</w:t>
            </w:r>
          </w:p>
        </w:tc>
        <w:tc>
          <w:tcPr>
            <w:tcW w:w="1456" w:type="dxa"/>
            <w:tcBorders>
              <w:top w:val="single" w:color="000000" w:sz="4" w:space="0"/>
              <w:left w:val="single" w:color="000000" w:sz="4" w:space="0"/>
              <w:bottom w:val="single" w:color="000000" w:sz="4" w:space="0"/>
              <w:right w:val="single" w:color="000000" w:sz="4" w:space="0"/>
            </w:tcBorders>
            <w:vAlign w:val="top"/>
          </w:tcPr>
          <w:p w14:paraId="7A10EFA2">
            <w:pPr>
              <w:spacing w:before="56" w:line="360" w:lineRule="auto"/>
              <w:ind w:firstLine="116"/>
              <w:jc w:val="right"/>
              <w:rPr>
                <w:rFonts w:hint="eastAsia" w:ascii="仿宋" w:hAnsi="仿宋" w:eastAsia="仿宋" w:cs="仿宋"/>
                <w:sz w:val="32"/>
                <w:szCs w:val="32"/>
              </w:rPr>
            </w:pPr>
            <w:r>
              <w:rPr>
                <w:rFonts w:hint="eastAsia" w:ascii="仿宋" w:hAnsi="仿宋" w:eastAsia="仿宋" w:cs="仿宋"/>
                <w:color w:val="000000"/>
                <w:sz w:val="32"/>
                <w:szCs w:val="32"/>
              </w:rPr>
              <w:t>预算收入</w:t>
            </w:r>
          </w:p>
        </w:tc>
        <w:tc>
          <w:tcPr>
            <w:tcW w:w="711" w:type="dxa"/>
            <w:tcBorders>
              <w:top w:val="single" w:color="000000" w:sz="4" w:space="0"/>
              <w:left w:val="single" w:color="000000" w:sz="4" w:space="0"/>
              <w:bottom w:val="single" w:color="000000" w:sz="4" w:space="0"/>
              <w:right w:val="single" w:color="000000" w:sz="4" w:space="0"/>
            </w:tcBorders>
            <w:vAlign w:val="top"/>
          </w:tcPr>
          <w:p w14:paraId="0C559DCD">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调增</w:t>
            </w:r>
          </w:p>
          <w:p w14:paraId="2A99CE46">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金额</w:t>
            </w:r>
          </w:p>
        </w:tc>
        <w:tc>
          <w:tcPr>
            <w:tcW w:w="1464" w:type="dxa"/>
            <w:tcBorders>
              <w:top w:val="single" w:color="000000" w:sz="4" w:space="0"/>
              <w:left w:val="single" w:color="000000" w:sz="4" w:space="0"/>
              <w:bottom w:val="single" w:color="000000" w:sz="4" w:space="0"/>
              <w:right w:val="single" w:color="000000" w:sz="4" w:space="0"/>
            </w:tcBorders>
            <w:vAlign w:val="top"/>
          </w:tcPr>
          <w:p w14:paraId="3AC30024">
            <w:pPr>
              <w:spacing w:before="56" w:line="360" w:lineRule="auto"/>
              <w:ind w:firstLine="144"/>
              <w:jc w:val="right"/>
              <w:rPr>
                <w:rFonts w:hint="eastAsia" w:ascii="仿宋" w:hAnsi="仿宋" w:eastAsia="仿宋" w:cs="仿宋"/>
                <w:sz w:val="32"/>
                <w:szCs w:val="32"/>
              </w:rPr>
            </w:pPr>
            <w:r>
              <w:rPr>
                <w:rFonts w:hint="eastAsia" w:ascii="仿宋" w:hAnsi="仿宋" w:eastAsia="仿宋" w:cs="仿宋"/>
                <w:color w:val="000000"/>
                <w:sz w:val="32"/>
                <w:szCs w:val="32"/>
              </w:rPr>
              <w:t>决算收入</w:t>
            </w:r>
          </w:p>
        </w:tc>
        <w:tc>
          <w:tcPr>
            <w:tcW w:w="1509" w:type="dxa"/>
            <w:tcBorders>
              <w:top w:val="single" w:color="000000" w:sz="4" w:space="0"/>
              <w:left w:val="single" w:color="000000" w:sz="4" w:space="0"/>
              <w:bottom w:val="single" w:color="000000" w:sz="4" w:space="0"/>
              <w:right w:val="single" w:color="000000" w:sz="4" w:space="0"/>
            </w:tcBorders>
            <w:vAlign w:val="top"/>
          </w:tcPr>
          <w:p w14:paraId="2526F7DE">
            <w:pPr>
              <w:spacing w:before="56" w:line="360" w:lineRule="auto"/>
              <w:ind w:firstLine="129"/>
              <w:jc w:val="right"/>
              <w:rPr>
                <w:rFonts w:hint="eastAsia" w:ascii="仿宋" w:hAnsi="仿宋" w:eastAsia="仿宋" w:cs="仿宋"/>
                <w:sz w:val="32"/>
                <w:szCs w:val="32"/>
              </w:rPr>
            </w:pPr>
            <w:r>
              <w:rPr>
                <w:rFonts w:hint="eastAsia" w:ascii="仿宋" w:hAnsi="仿宋" w:eastAsia="仿宋" w:cs="仿宋"/>
                <w:color w:val="000000"/>
                <w:sz w:val="32"/>
                <w:szCs w:val="32"/>
              </w:rPr>
              <w:t>支出金额</w:t>
            </w:r>
          </w:p>
        </w:tc>
        <w:tc>
          <w:tcPr>
            <w:tcW w:w="1554" w:type="dxa"/>
            <w:tcBorders>
              <w:top w:val="single" w:color="000000" w:sz="4" w:space="0"/>
              <w:left w:val="single" w:color="000000" w:sz="4" w:space="0"/>
              <w:bottom w:val="single" w:color="000000" w:sz="4" w:space="0"/>
              <w:right w:val="single" w:color="000000" w:sz="4" w:space="0"/>
            </w:tcBorders>
            <w:vAlign w:val="top"/>
          </w:tcPr>
          <w:p w14:paraId="0F130BD4">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预算执行</w:t>
            </w:r>
          </w:p>
          <w:p w14:paraId="2949CB7E">
            <w:pPr>
              <w:spacing w:line="360" w:lineRule="auto"/>
              <w:ind w:firstLine="154"/>
              <w:jc w:val="both"/>
              <w:rPr>
                <w:rFonts w:hint="eastAsia" w:ascii="仿宋" w:hAnsi="仿宋" w:eastAsia="仿宋" w:cs="仿宋"/>
                <w:sz w:val="32"/>
                <w:szCs w:val="32"/>
              </w:rPr>
            </w:pPr>
            <w:r>
              <w:rPr>
                <w:rFonts w:hint="eastAsia" w:ascii="仿宋" w:hAnsi="仿宋" w:eastAsia="仿宋" w:cs="仿宋"/>
                <w:color w:val="000000"/>
                <w:sz w:val="32"/>
                <w:szCs w:val="32"/>
              </w:rPr>
              <w:t>率</w:t>
            </w:r>
          </w:p>
        </w:tc>
      </w:tr>
      <w:tr w14:paraId="2EDBEF4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2686" w:type="dxa"/>
            <w:tcBorders>
              <w:top w:val="single" w:color="000000" w:sz="4" w:space="0"/>
              <w:left w:val="single" w:color="000000" w:sz="4" w:space="0"/>
              <w:bottom w:val="single" w:color="000000" w:sz="4" w:space="0"/>
              <w:right w:val="single" w:color="000000" w:sz="4" w:space="0"/>
            </w:tcBorders>
            <w:vAlign w:val="top"/>
          </w:tcPr>
          <w:p w14:paraId="778178E5">
            <w:pPr>
              <w:spacing w:line="360" w:lineRule="auto"/>
              <w:ind w:firstLine="100"/>
              <w:jc w:val="both"/>
              <w:rPr>
                <w:rFonts w:hint="eastAsia" w:ascii="仿宋" w:hAnsi="仿宋" w:eastAsia="仿宋" w:cs="仿宋"/>
                <w:sz w:val="32"/>
                <w:szCs w:val="32"/>
              </w:rPr>
            </w:pPr>
            <w:r>
              <w:rPr>
                <w:rFonts w:hint="eastAsia" w:ascii="仿宋" w:hAnsi="仿宋" w:eastAsia="仿宋" w:cs="仿宋"/>
                <w:color w:val="000000"/>
                <w:sz w:val="32"/>
                <w:szCs w:val="32"/>
              </w:rPr>
              <w:t>备战重大体育赛事</w:t>
            </w:r>
          </w:p>
        </w:tc>
        <w:tc>
          <w:tcPr>
            <w:tcW w:w="1456" w:type="dxa"/>
            <w:tcBorders>
              <w:top w:val="single" w:color="000000" w:sz="4" w:space="0"/>
              <w:left w:val="single" w:color="000000" w:sz="4" w:space="0"/>
              <w:bottom w:val="single" w:color="000000" w:sz="4" w:space="0"/>
              <w:right w:val="single" w:color="000000" w:sz="4" w:space="0"/>
            </w:tcBorders>
            <w:vAlign w:val="top"/>
          </w:tcPr>
          <w:p w14:paraId="0F93CB58">
            <w:pPr>
              <w:spacing w:line="360" w:lineRule="auto"/>
              <w:ind w:firstLine="156"/>
              <w:jc w:val="right"/>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2812.69</w:t>
            </w:r>
          </w:p>
        </w:tc>
        <w:tc>
          <w:tcPr>
            <w:tcW w:w="711" w:type="dxa"/>
            <w:tcBorders>
              <w:top w:val="single" w:color="000000" w:sz="4" w:space="0"/>
              <w:left w:val="single" w:color="000000" w:sz="4" w:space="0"/>
              <w:bottom w:val="single" w:color="000000" w:sz="4" w:space="0"/>
              <w:right w:val="single" w:color="000000" w:sz="4" w:space="0"/>
            </w:tcBorders>
            <w:vAlign w:val="top"/>
          </w:tcPr>
          <w:p w14:paraId="5D96D581">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0.00</w:t>
            </w:r>
          </w:p>
        </w:tc>
        <w:tc>
          <w:tcPr>
            <w:tcW w:w="1464" w:type="dxa"/>
            <w:tcBorders>
              <w:top w:val="single" w:color="000000" w:sz="4" w:space="0"/>
              <w:left w:val="single" w:color="000000" w:sz="4" w:space="0"/>
              <w:bottom w:val="single" w:color="000000" w:sz="4" w:space="0"/>
              <w:right w:val="single" w:color="000000" w:sz="4" w:space="0"/>
            </w:tcBorders>
            <w:vAlign w:val="top"/>
          </w:tcPr>
          <w:p w14:paraId="2E2F9FEA">
            <w:pPr>
              <w:spacing w:line="360" w:lineRule="auto"/>
              <w:ind w:firstLine="164"/>
              <w:jc w:val="right"/>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2812.69</w:t>
            </w:r>
          </w:p>
        </w:tc>
        <w:tc>
          <w:tcPr>
            <w:tcW w:w="1509" w:type="dxa"/>
            <w:tcBorders>
              <w:top w:val="single" w:color="000000" w:sz="4" w:space="0"/>
              <w:left w:val="single" w:color="000000" w:sz="4" w:space="0"/>
              <w:bottom w:val="single" w:color="000000" w:sz="4" w:space="0"/>
              <w:right w:val="single" w:color="000000" w:sz="4" w:space="0"/>
            </w:tcBorders>
            <w:vAlign w:val="top"/>
          </w:tcPr>
          <w:p w14:paraId="7F136038">
            <w:pPr>
              <w:spacing w:line="360" w:lineRule="auto"/>
              <w:ind w:firstLine="209"/>
              <w:jc w:val="right"/>
              <w:rPr>
                <w:rFonts w:hint="eastAsia" w:ascii="仿宋" w:hAnsi="仿宋" w:eastAsia="仿宋" w:cs="仿宋"/>
                <w:sz w:val="32"/>
                <w:szCs w:val="32"/>
              </w:rPr>
            </w:pPr>
            <w:r>
              <w:rPr>
                <w:rFonts w:hint="eastAsia" w:ascii="仿宋" w:hAnsi="仿宋" w:eastAsia="仿宋" w:cs="仿宋"/>
                <w:color w:val="000000"/>
                <w:sz w:val="32"/>
                <w:szCs w:val="32"/>
                <w:lang w:val="en-US" w:eastAsia="zh-CN"/>
              </w:rPr>
              <w:t>2700.75</w:t>
            </w:r>
          </w:p>
        </w:tc>
        <w:tc>
          <w:tcPr>
            <w:tcW w:w="1554" w:type="dxa"/>
            <w:tcBorders>
              <w:top w:val="single" w:color="000000" w:sz="4" w:space="0"/>
              <w:left w:val="single" w:color="000000" w:sz="4" w:space="0"/>
              <w:bottom w:val="single" w:color="000000" w:sz="4" w:space="0"/>
              <w:right w:val="single" w:color="000000" w:sz="4" w:space="0"/>
            </w:tcBorders>
            <w:vAlign w:val="top"/>
          </w:tcPr>
          <w:p w14:paraId="3B0CF5CC">
            <w:pPr>
              <w:spacing w:line="360" w:lineRule="auto"/>
              <w:ind w:firstLine="534"/>
              <w:jc w:val="right"/>
              <w:rPr>
                <w:rFonts w:hint="eastAsia" w:ascii="仿宋" w:hAnsi="仿宋" w:eastAsia="仿宋" w:cs="仿宋"/>
                <w:sz w:val="32"/>
                <w:szCs w:val="32"/>
              </w:rPr>
            </w:pPr>
            <w:r>
              <w:rPr>
                <w:rFonts w:hint="eastAsia" w:ascii="仿宋" w:hAnsi="仿宋" w:eastAsia="仿宋" w:cs="仿宋"/>
                <w:color w:val="000000"/>
                <w:sz w:val="32"/>
                <w:szCs w:val="32"/>
                <w:lang w:val="en-US" w:eastAsia="zh-CN"/>
              </w:rPr>
              <w:t>96.02</w:t>
            </w:r>
            <w:r>
              <w:rPr>
                <w:rFonts w:hint="eastAsia" w:ascii="仿宋" w:hAnsi="仿宋" w:eastAsia="仿宋" w:cs="仿宋"/>
                <w:color w:val="000000"/>
                <w:sz w:val="32"/>
                <w:szCs w:val="32"/>
              </w:rPr>
              <w:t>%</w:t>
            </w:r>
          </w:p>
        </w:tc>
      </w:tr>
      <w:tr w14:paraId="576B3E8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trPr>
        <w:tc>
          <w:tcPr>
            <w:tcW w:w="2686" w:type="dxa"/>
            <w:tcBorders>
              <w:top w:val="single" w:color="000000" w:sz="4" w:space="0"/>
              <w:left w:val="single" w:color="000000" w:sz="4" w:space="0"/>
              <w:bottom w:val="single" w:color="000000" w:sz="4" w:space="0"/>
              <w:right w:val="single" w:color="000000" w:sz="4" w:space="0"/>
            </w:tcBorders>
            <w:vAlign w:val="top"/>
          </w:tcPr>
          <w:p w14:paraId="573ADE3A">
            <w:pPr>
              <w:spacing w:line="360" w:lineRule="auto"/>
              <w:ind w:firstLine="100"/>
              <w:jc w:val="both"/>
              <w:rPr>
                <w:rFonts w:hint="eastAsia" w:ascii="仿宋" w:hAnsi="仿宋" w:eastAsia="仿宋" w:cs="仿宋"/>
                <w:sz w:val="32"/>
                <w:szCs w:val="32"/>
              </w:rPr>
            </w:pPr>
            <w:r>
              <w:rPr>
                <w:rFonts w:hint="eastAsia" w:ascii="仿宋" w:hAnsi="仿宋" w:eastAsia="仿宋" w:cs="仿宋"/>
                <w:color w:val="000000"/>
                <w:sz w:val="32"/>
                <w:szCs w:val="32"/>
              </w:rPr>
              <w:t>场地零星维修项目</w:t>
            </w:r>
          </w:p>
        </w:tc>
        <w:tc>
          <w:tcPr>
            <w:tcW w:w="1456" w:type="dxa"/>
            <w:tcBorders>
              <w:top w:val="single" w:color="000000" w:sz="4" w:space="0"/>
              <w:left w:val="single" w:color="000000" w:sz="4" w:space="0"/>
              <w:bottom w:val="single" w:color="000000" w:sz="4" w:space="0"/>
              <w:right w:val="single" w:color="000000" w:sz="4" w:space="0"/>
            </w:tcBorders>
            <w:vAlign w:val="top"/>
          </w:tcPr>
          <w:p w14:paraId="25142B4D">
            <w:pPr>
              <w:spacing w:line="360" w:lineRule="auto"/>
              <w:ind w:firstLine="376"/>
              <w:jc w:val="right"/>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497.3</w:t>
            </w:r>
          </w:p>
        </w:tc>
        <w:tc>
          <w:tcPr>
            <w:tcW w:w="711" w:type="dxa"/>
            <w:tcBorders>
              <w:top w:val="single" w:color="000000" w:sz="4" w:space="0"/>
              <w:left w:val="single" w:color="000000" w:sz="4" w:space="0"/>
              <w:bottom w:val="single" w:color="000000" w:sz="4" w:space="0"/>
              <w:right w:val="single" w:color="000000" w:sz="4" w:space="0"/>
            </w:tcBorders>
            <w:vAlign w:val="top"/>
          </w:tcPr>
          <w:p w14:paraId="5751E233">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0.00</w:t>
            </w:r>
          </w:p>
        </w:tc>
        <w:tc>
          <w:tcPr>
            <w:tcW w:w="1464" w:type="dxa"/>
            <w:tcBorders>
              <w:top w:val="single" w:color="000000" w:sz="4" w:space="0"/>
              <w:left w:val="single" w:color="000000" w:sz="4" w:space="0"/>
              <w:bottom w:val="single" w:color="000000" w:sz="4" w:space="0"/>
              <w:right w:val="single" w:color="000000" w:sz="4" w:space="0"/>
            </w:tcBorders>
            <w:vAlign w:val="top"/>
          </w:tcPr>
          <w:p w14:paraId="7A82F647">
            <w:pPr>
              <w:spacing w:line="360" w:lineRule="auto"/>
              <w:ind w:firstLine="384"/>
              <w:jc w:val="right"/>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497.3</w:t>
            </w:r>
          </w:p>
        </w:tc>
        <w:tc>
          <w:tcPr>
            <w:tcW w:w="1509" w:type="dxa"/>
            <w:tcBorders>
              <w:top w:val="single" w:color="000000" w:sz="4" w:space="0"/>
              <w:left w:val="single" w:color="000000" w:sz="4" w:space="0"/>
              <w:bottom w:val="single" w:color="000000" w:sz="4" w:space="0"/>
              <w:right w:val="single" w:color="000000" w:sz="4" w:space="0"/>
            </w:tcBorders>
            <w:vAlign w:val="top"/>
          </w:tcPr>
          <w:p w14:paraId="7C5D8DD1">
            <w:pPr>
              <w:spacing w:line="360" w:lineRule="auto"/>
              <w:ind w:firstLine="449"/>
              <w:jc w:val="right"/>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343.93</w:t>
            </w:r>
          </w:p>
        </w:tc>
        <w:tc>
          <w:tcPr>
            <w:tcW w:w="1554" w:type="dxa"/>
            <w:tcBorders>
              <w:top w:val="single" w:color="000000" w:sz="4" w:space="0"/>
              <w:left w:val="single" w:color="000000" w:sz="4" w:space="0"/>
              <w:bottom w:val="single" w:color="000000" w:sz="4" w:space="0"/>
              <w:right w:val="single" w:color="000000" w:sz="4" w:space="0"/>
            </w:tcBorders>
            <w:vAlign w:val="top"/>
          </w:tcPr>
          <w:p w14:paraId="21D933B9">
            <w:pPr>
              <w:spacing w:line="360" w:lineRule="auto"/>
              <w:ind w:firstLine="534"/>
              <w:jc w:val="right"/>
              <w:rPr>
                <w:rFonts w:hint="eastAsia" w:ascii="仿宋" w:hAnsi="仿宋" w:eastAsia="仿宋" w:cs="仿宋"/>
                <w:sz w:val="32"/>
                <w:szCs w:val="32"/>
              </w:rPr>
            </w:pPr>
            <w:r>
              <w:rPr>
                <w:rFonts w:hint="eastAsia" w:ascii="仿宋" w:hAnsi="仿宋" w:eastAsia="仿宋" w:cs="仿宋"/>
                <w:color w:val="000000"/>
                <w:sz w:val="32"/>
                <w:szCs w:val="32"/>
                <w:lang w:val="en-US" w:eastAsia="zh-CN"/>
              </w:rPr>
              <w:t>69.12</w:t>
            </w:r>
            <w:r>
              <w:rPr>
                <w:rFonts w:hint="eastAsia" w:ascii="仿宋" w:hAnsi="仿宋" w:eastAsia="仿宋" w:cs="仿宋"/>
                <w:color w:val="000000"/>
                <w:sz w:val="32"/>
                <w:szCs w:val="32"/>
              </w:rPr>
              <w:t>%</w:t>
            </w:r>
          </w:p>
        </w:tc>
      </w:tr>
      <w:tr w14:paraId="71032FD2">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0" w:hRule="atLeast"/>
        </w:trPr>
        <w:tc>
          <w:tcPr>
            <w:tcW w:w="2686" w:type="dxa"/>
            <w:tcBorders>
              <w:top w:val="single" w:color="000000" w:sz="4" w:space="0"/>
              <w:left w:val="single" w:color="000000" w:sz="4" w:space="0"/>
              <w:bottom w:val="single" w:color="000000" w:sz="4" w:space="0"/>
              <w:right w:val="single" w:color="000000" w:sz="4" w:space="0"/>
            </w:tcBorders>
            <w:vAlign w:val="top"/>
          </w:tcPr>
          <w:p w14:paraId="3664310A">
            <w:pPr>
              <w:spacing w:line="360" w:lineRule="auto"/>
              <w:ind w:left="100" w:right="163" w:firstLine="0"/>
              <w:jc w:val="both"/>
              <w:rPr>
                <w:rFonts w:hint="eastAsia" w:ascii="仿宋" w:hAnsi="仿宋" w:eastAsia="仿宋" w:cs="仿宋"/>
                <w:sz w:val="32"/>
                <w:szCs w:val="32"/>
              </w:rPr>
            </w:pPr>
            <w:r>
              <w:rPr>
                <w:rFonts w:hint="eastAsia" w:ascii="仿宋" w:hAnsi="仿宋" w:eastAsia="仿宋" w:cs="仿宋"/>
                <w:color w:val="000000"/>
                <w:sz w:val="32"/>
                <w:szCs w:val="32"/>
              </w:rPr>
              <w:t>第十五届全运会省属场馆广东划船赛场维修改造工程</w:t>
            </w:r>
          </w:p>
        </w:tc>
        <w:tc>
          <w:tcPr>
            <w:tcW w:w="1456" w:type="dxa"/>
            <w:tcBorders>
              <w:top w:val="single" w:color="000000" w:sz="4" w:space="0"/>
              <w:left w:val="single" w:color="000000" w:sz="4" w:space="0"/>
              <w:bottom w:val="single" w:color="000000" w:sz="4" w:space="0"/>
              <w:right w:val="single" w:color="000000" w:sz="4" w:space="0"/>
            </w:tcBorders>
            <w:vAlign w:val="top"/>
          </w:tcPr>
          <w:p w14:paraId="0ADE5E68">
            <w:pPr>
              <w:spacing w:line="360" w:lineRule="auto"/>
              <w:ind w:firstLine="496"/>
              <w:jc w:val="right"/>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66.56</w:t>
            </w:r>
          </w:p>
        </w:tc>
        <w:tc>
          <w:tcPr>
            <w:tcW w:w="711" w:type="dxa"/>
            <w:tcBorders>
              <w:top w:val="single" w:color="000000" w:sz="4" w:space="0"/>
              <w:left w:val="single" w:color="000000" w:sz="4" w:space="0"/>
              <w:bottom w:val="single" w:color="000000" w:sz="4" w:space="0"/>
              <w:right w:val="single" w:color="000000" w:sz="4" w:space="0"/>
            </w:tcBorders>
            <w:vAlign w:val="top"/>
          </w:tcPr>
          <w:p w14:paraId="527B19AB">
            <w:pPr>
              <w:spacing w:line="360" w:lineRule="auto"/>
              <w:jc w:val="center"/>
              <w:rPr>
                <w:rFonts w:hint="eastAsia" w:ascii="仿宋" w:hAnsi="仿宋" w:eastAsia="仿宋" w:cs="仿宋"/>
                <w:sz w:val="32"/>
                <w:szCs w:val="32"/>
              </w:rPr>
            </w:pPr>
            <w:r>
              <w:rPr>
                <w:rFonts w:hint="eastAsia" w:ascii="仿宋" w:hAnsi="仿宋" w:eastAsia="仿宋" w:cs="仿宋"/>
                <w:color w:val="000000"/>
                <w:sz w:val="32"/>
                <w:szCs w:val="32"/>
              </w:rPr>
              <w:t>0.00</w:t>
            </w:r>
          </w:p>
        </w:tc>
        <w:tc>
          <w:tcPr>
            <w:tcW w:w="1464" w:type="dxa"/>
            <w:tcBorders>
              <w:top w:val="single" w:color="000000" w:sz="4" w:space="0"/>
              <w:left w:val="single" w:color="000000" w:sz="4" w:space="0"/>
              <w:bottom w:val="single" w:color="000000" w:sz="4" w:space="0"/>
              <w:right w:val="single" w:color="000000" w:sz="4" w:space="0"/>
            </w:tcBorders>
            <w:vAlign w:val="top"/>
          </w:tcPr>
          <w:p w14:paraId="56FDC11E">
            <w:pPr>
              <w:spacing w:line="360" w:lineRule="auto"/>
              <w:ind w:firstLine="484"/>
              <w:jc w:val="right"/>
              <w:rPr>
                <w:rFonts w:hint="eastAsia" w:ascii="仿宋" w:hAnsi="仿宋" w:eastAsia="仿宋" w:cs="仿宋"/>
                <w:sz w:val="32"/>
                <w:szCs w:val="32"/>
              </w:rPr>
            </w:pPr>
            <w:r>
              <w:rPr>
                <w:rFonts w:hint="eastAsia" w:ascii="仿宋" w:hAnsi="仿宋" w:eastAsia="仿宋" w:cs="仿宋"/>
                <w:color w:val="000000"/>
                <w:sz w:val="32"/>
                <w:szCs w:val="32"/>
                <w:lang w:val="en-US" w:eastAsia="zh-CN"/>
              </w:rPr>
              <w:t>66.56</w:t>
            </w:r>
          </w:p>
        </w:tc>
        <w:tc>
          <w:tcPr>
            <w:tcW w:w="1509" w:type="dxa"/>
            <w:tcBorders>
              <w:top w:val="single" w:color="000000" w:sz="4" w:space="0"/>
              <w:left w:val="single" w:color="000000" w:sz="4" w:space="0"/>
              <w:bottom w:val="single" w:color="000000" w:sz="4" w:space="0"/>
              <w:right w:val="single" w:color="000000" w:sz="4" w:space="0"/>
            </w:tcBorders>
            <w:vAlign w:val="top"/>
          </w:tcPr>
          <w:p w14:paraId="2621463B">
            <w:pPr>
              <w:spacing w:line="360" w:lineRule="auto"/>
              <w:ind w:firstLine="529"/>
              <w:jc w:val="right"/>
              <w:rPr>
                <w:rFonts w:hint="eastAsia" w:ascii="仿宋" w:hAnsi="仿宋" w:eastAsia="仿宋" w:cs="仿宋"/>
                <w:sz w:val="32"/>
                <w:szCs w:val="32"/>
                <w:lang w:eastAsia="zh-CN"/>
              </w:rPr>
            </w:pPr>
            <w:r>
              <w:rPr>
                <w:rFonts w:hint="eastAsia" w:ascii="仿宋" w:hAnsi="仿宋" w:eastAsia="仿宋" w:cs="仿宋"/>
                <w:color w:val="000000"/>
                <w:sz w:val="32"/>
                <w:szCs w:val="32"/>
                <w:lang w:val="en-US" w:eastAsia="zh-CN"/>
              </w:rPr>
              <w:t>0</w:t>
            </w:r>
          </w:p>
        </w:tc>
        <w:tc>
          <w:tcPr>
            <w:tcW w:w="1554" w:type="dxa"/>
            <w:tcBorders>
              <w:top w:val="single" w:color="000000" w:sz="4" w:space="0"/>
              <w:left w:val="single" w:color="000000" w:sz="4" w:space="0"/>
              <w:bottom w:val="single" w:color="000000" w:sz="4" w:space="0"/>
              <w:right w:val="single" w:color="000000" w:sz="4" w:space="0"/>
            </w:tcBorders>
            <w:vAlign w:val="top"/>
          </w:tcPr>
          <w:p w14:paraId="7DCFF116">
            <w:pPr>
              <w:spacing w:line="360" w:lineRule="auto"/>
              <w:ind w:firstLine="414"/>
              <w:jc w:val="right"/>
              <w:rPr>
                <w:rFonts w:hint="eastAsia" w:ascii="仿宋" w:hAnsi="仿宋" w:eastAsia="仿宋" w:cs="仿宋"/>
                <w:sz w:val="32"/>
                <w:szCs w:val="32"/>
              </w:rPr>
            </w:pP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0%</w:t>
            </w:r>
          </w:p>
        </w:tc>
      </w:tr>
    </w:tbl>
    <w:p w14:paraId="3FBB5BDE">
      <w:pPr>
        <w:spacing w:line="360" w:lineRule="auto"/>
        <w:rPr>
          <w:rFonts w:hint="eastAsia" w:ascii="仿宋" w:hAnsi="仿宋" w:eastAsia="仿宋" w:cs="仿宋"/>
          <w:sz w:val="32"/>
          <w:szCs w:val="32"/>
        </w:rPr>
        <w:sectPr>
          <w:headerReference r:id="rId11" w:type="default"/>
          <w:footerReference r:id="rId12" w:type="default"/>
          <w:type w:val="continuous"/>
          <w:pgSz w:w="11900" w:h="16820"/>
          <w:pgMar w:top="1680" w:right="1200" w:bottom="1440" w:left="1200" w:header="840" w:footer="720" w:gutter="0"/>
          <w:cols w:space="720" w:num="1"/>
        </w:sectPr>
      </w:pPr>
    </w:p>
    <w:p w14:paraId="4AD7AF14">
      <w:pPr>
        <w:wordWrap w:val="0"/>
        <w:spacing w:line="360" w:lineRule="auto"/>
        <w:ind w:left="20" w:right="160" w:firstLine="680"/>
        <w:jc w:val="both"/>
        <w:rPr>
          <w:rFonts w:hint="eastAsia" w:ascii="仿宋" w:hAnsi="仿宋" w:eastAsia="仿宋" w:cs="仿宋"/>
          <w:sz w:val="32"/>
          <w:szCs w:val="32"/>
        </w:rPr>
      </w:pPr>
      <w:r>
        <w:rPr>
          <w:rFonts w:hint="eastAsia" w:ascii="仿宋" w:hAnsi="仿宋" w:eastAsia="仿宋" w:cs="仿宋"/>
          <w:color w:val="000000"/>
          <w:sz w:val="32"/>
          <w:szCs w:val="32"/>
        </w:rPr>
        <w:t>中心严格按照《广东省省级财政专项资金管理试行办法》及专项资金管理制度执行，预算执行和会计核实较为规范，资金管理、费用标准、支付符合规定，不存在超范围、超标准支出，以及虚列支出，截留、挤占、挪用等情况。</w:t>
      </w:r>
    </w:p>
    <w:p w14:paraId="04516C73">
      <w:pPr>
        <w:wordWrap w:val="0"/>
        <w:spacing w:before="35" w:line="360" w:lineRule="auto"/>
        <w:ind w:firstLine="640"/>
        <w:jc w:val="both"/>
        <w:rPr>
          <w:rFonts w:hint="eastAsia" w:ascii="仿宋" w:hAnsi="仿宋" w:eastAsia="仿宋" w:cs="仿宋"/>
          <w:sz w:val="32"/>
          <w:szCs w:val="32"/>
        </w:rPr>
      </w:pPr>
      <w:r>
        <w:rPr>
          <w:rFonts w:hint="eastAsia" w:ascii="仿宋" w:hAnsi="仿宋" w:eastAsia="仿宋" w:cs="仿宋"/>
          <w:color w:val="000000"/>
          <w:sz w:val="32"/>
          <w:szCs w:val="32"/>
        </w:rPr>
        <w:t>2．专项资金完成绩效目标情况。</w:t>
      </w:r>
    </w:p>
    <w:p w14:paraId="6248926E">
      <w:pPr>
        <w:wordWrap w:val="0"/>
        <w:spacing w:line="360" w:lineRule="auto"/>
        <w:ind w:firstLine="840"/>
        <w:jc w:val="both"/>
        <w:rPr>
          <w:rFonts w:hint="eastAsia" w:ascii="仿宋" w:hAnsi="仿宋" w:eastAsia="仿宋" w:cs="仿宋"/>
          <w:sz w:val="32"/>
          <w:szCs w:val="32"/>
        </w:rPr>
      </w:pPr>
      <w:r>
        <w:rPr>
          <w:rFonts w:hint="eastAsia" w:ascii="仿宋" w:hAnsi="仿宋" w:eastAsia="仿宋" w:cs="仿宋"/>
          <w:color w:val="000000"/>
          <w:sz w:val="32"/>
          <w:szCs w:val="32"/>
        </w:rPr>
        <w:t>“竞技体育专项资金”已完成绩效目标。</w:t>
      </w:r>
      <w:r>
        <w:rPr>
          <w:rFonts w:hint="eastAsia" w:ascii="仿宋" w:hAnsi="仿宋" w:eastAsia="仿宋" w:cs="仿宋"/>
          <w:sz w:val="32"/>
          <w:szCs w:val="32"/>
        </w:rPr>
        <w:t>广东海上</w:t>
      </w:r>
      <w:r>
        <w:rPr>
          <w:rFonts w:hint="eastAsia" w:ascii="仿宋" w:hAnsi="仿宋" w:eastAsia="仿宋" w:cs="仿宋"/>
          <w:sz w:val="32"/>
          <w:szCs w:val="32"/>
          <w:lang w:val="en-US" w:eastAsia="zh-CN"/>
        </w:rPr>
        <w:t>项目训练</w:t>
      </w:r>
      <w:r>
        <w:rPr>
          <w:rFonts w:hint="eastAsia" w:ascii="仿宋" w:hAnsi="仿宋" w:eastAsia="仿宋" w:cs="仿宋"/>
          <w:sz w:val="32"/>
          <w:szCs w:val="32"/>
        </w:rPr>
        <w:t>中心在体育局的领导和指导下</w:t>
      </w:r>
      <w:r>
        <w:rPr>
          <w:rFonts w:hint="eastAsia" w:ascii="仿宋" w:hAnsi="仿宋" w:eastAsia="仿宋" w:cs="仿宋"/>
          <w:sz w:val="32"/>
          <w:szCs w:val="32"/>
          <w:lang w:eastAsia="zh-CN"/>
        </w:rPr>
        <w:t>，</w:t>
      </w:r>
      <w:r>
        <w:rPr>
          <w:rFonts w:hint="eastAsia" w:ascii="仿宋" w:hAnsi="仿宋" w:eastAsia="仿宋" w:cs="仿宋"/>
          <w:sz w:val="32"/>
          <w:szCs w:val="32"/>
        </w:rPr>
        <w:t>坚持以习近平新时代中国特色社会主义思想为指导，深入贯彻党 的二十大精神和习近平总书记视察广东及关于体育的重要论述和 重要指示批示精神，按照党的基层组织工作条例要求，进一步加 强组织建设，加强党员思想作风教育，积极开展多种形式的组织 活动，充分发挥了党组织的战斗堡垒作用和共产党员的先锋模范 作用，推动了全中心工作的顺利开展，助力推进广东体育事业高 质量发展，2023年以来，在杭州亚运会上我中心运动员毕焜夺得 水翼帆板项目金牌，亚洲帆船锦标赛暨巴黎奥运会亚洲区资格赛 上我中心运动员麦汇聪/陈琳琳在混合诺卡拉17级双体船比赛中一举夺魁，均为中国队斩获奥运会参赛资格，圆满完成亚运年的比赛任务。</w:t>
      </w:r>
    </w:p>
    <w:p w14:paraId="00FC7743">
      <w:pPr>
        <w:wordWrap w:val="0"/>
        <w:spacing w:before="33" w:line="360" w:lineRule="auto"/>
        <w:ind w:firstLine="680"/>
        <w:jc w:val="both"/>
        <w:rPr>
          <w:rFonts w:hint="eastAsia" w:ascii="仿宋" w:hAnsi="仿宋" w:eastAsia="仿宋" w:cs="仿宋"/>
          <w:sz w:val="32"/>
          <w:szCs w:val="32"/>
        </w:rPr>
      </w:pPr>
      <w:r>
        <w:rPr>
          <w:rFonts w:hint="eastAsia" w:ascii="仿宋" w:hAnsi="仿宋" w:eastAsia="仿宋" w:cs="仿宋"/>
          <w:color w:val="000000"/>
          <w:sz w:val="32"/>
          <w:szCs w:val="32"/>
        </w:rPr>
        <w:t>3．专项资金分用途使用绩效。</w:t>
      </w:r>
    </w:p>
    <w:p w14:paraId="1E9DA5B1">
      <w:pPr>
        <w:wordWrap w:val="0"/>
        <w:spacing w:line="360" w:lineRule="auto"/>
        <w:ind w:firstLine="840"/>
        <w:jc w:val="both"/>
        <w:rPr>
          <w:rFonts w:hint="eastAsia" w:ascii="仿宋" w:hAnsi="仿宋" w:eastAsia="仿宋" w:cs="仿宋"/>
          <w:color w:val="000000"/>
          <w:sz w:val="32"/>
          <w:szCs w:val="32"/>
        </w:rPr>
      </w:pPr>
      <w:r>
        <w:rPr>
          <w:rFonts w:hint="eastAsia" w:ascii="仿宋" w:hAnsi="仿宋" w:eastAsia="仿宋" w:cs="仿宋"/>
          <w:color w:val="000000"/>
          <w:sz w:val="32"/>
          <w:szCs w:val="32"/>
        </w:rPr>
        <w:t>2023年是全面贯彻落实党的二十大精神的开局之年，也是杭州亚运会成功举办之年，中心全体员工全方位的配合运动队做好后勤保障工作，解决运动员后顾之忧，最终确保大多数锦标赛、亚运会主力队员达标；齐心协力克服困难、迎接挑战，完成各项外训外赛任务。2023年，</w:t>
      </w:r>
      <w:r>
        <w:rPr>
          <w:rFonts w:hint="eastAsia" w:ascii="仿宋" w:hAnsi="仿宋" w:eastAsia="仿宋" w:cs="仿宋"/>
          <w:sz w:val="32"/>
          <w:szCs w:val="32"/>
        </w:rPr>
        <w:t>在杭州亚运会上我中心运动员毕焜夺得 水翼帆板项目金牌，亚洲帆船锦标赛暨巴黎奥运会亚洲区资格赛 上我中心运动员麦汇聪/陈琳琳在混合诺卡拉17级双体船比赛中一举夺魁，均为中国队斩获奥运会参赛资格，圆满完成亚运年的比赛任务。</w:t>
      </w:r>
    </w:p>
    <w:p w14:paraId="2D46D48E">
      <w:pPr>
        <w:wordWrap w:val="0"/>
        <w:spacing w:line="360" w:lineRule="auto"/>
        <w:ind w:left="20" w:right="240" w:firstLine="680"/>
        <w:jc w:val="both"/>
        <w:rPr>
          <w:rFonts w:hint="eastAsia" w:ascii="仿宋" w:hAnsi="仿宋" w:eastAsia="仿宋" w:cs="仿宋"/>
          <w:color w:val="000000"/>
          <w:sz w:val="32"/>
          <w:szCs w:val="32"/>
        </w:rPr>
      </w:pPr>
      <w:r>
        <w:rPr>
          <w:rFonts w:hint="eastAsia" w:ascii="仿宋" w:hAnsi="仿宋" w:eastAsia="仿宋" w:cs="仿宋"/>
          <w:color w:val="000000"/>
          <w:sz w:val="32"/>
          <w:szCs w:val="32"/>
        </w:rPr>
        <w:t>2023年中心运动队各项目参加全国性比赛4次，获得全运会项目年度重要一次比赛2枚金牌、8枚奖牌，亚运会1枚金牌；锻炼队伍，提高竞技水平。</w:t>
      </w:r>
    </w:p>
    <w:p w14:paraId="50D2D20B">
      <w:pPr>
        <w:wordWrap w:val="0"/>
        <w:spacing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2023年运动队引进优秀运动员合计2人，国内教练（含体能教练）6人，引进急需紧缺的高水平外教3人，补齐队伍阵容，提升备战阵容的综合实力及竞技体育核心竞争力。</w:t>
      </w:r>
    </w:p>
    <w:p w14:paraId="3E2C150D">
      <w:pPr>
        <w:wordWrap w:val="0"/>
        <w:spacing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依法依规做好训练器材与服装的规范管理及采购，按规定做好年度120人左右的采购计划及采购，年度器材设备验收合格率95%以上。</w:t>
      </w:r>
    </w:p>
    <w:p w14:paraId="3272DFD5">
      <w:pPr>
        <w:wordWrap w:val="0"/>
        <w:spacing w:line="360" w:lineRule="auto"/>
        <w:ind w:firstLine="0"/>
        <w:jc w:val="both"/>
        <w:rPr>
          <w:rFonts w:hint="eastAsia" w:ascii="仿宋" w:hAnsi="仿宋" w:eastAsia="仿宋" w:cs="仿宋"/>
          <w:color w:val="000000"/>
          <w:sz w:val="32"/>
          <w:szCs w:val="32"/>
        </w:rPr>
      </w:pPr>
      <w:r>
        <w:rPr>
          <w:rFonts w:hint="eastAsia" w:ascii="仿宋" w:hAnsi="仿宋" w:eastAsia="仿宋" w:cs="仿宋"/>
          <w:color w:val="000000"/>
          <w:sz w:val="32"/>
          <w:szCs w:val="32"/>
        </w:rPr>
        <w:t>购置及维修维护科研医疗体能器材，药品、护具、营养品等验收合格率95%以上，做好运动员120人训练比赛的医疗保障。</w:t>
      </w:r>
    </w:p>
    <w:p w14:paraId="336E43A8">
      <w:pPr>
        <w:wordWrap w:val="0"/>
        <w:spacing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做好中心体育训练场地的维护运转、保障教练员及运动员120人左右的食宿及训练，为队伍的比赛做好后勤保障</w:t>
      </w:r>
    </w:p>
    <w:p w14:paraId="642309B7">
      <w:pPr>
        <w:wordWrap w:val="0"/>
        <w:spacing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保障中心120多名运动员的生活环境，保障新项目队员的陆上辅助训练及恶劣天气训练；，消除安全隐患，保障中心正常运作。</w:t>
      </w:r>
    </w:p>
    <w:p w14:paraId="2F82D486">
      <w:pPr>
        <w:wordWrap w:val="0"/>
        <w:spacing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为保证十五运的赛事如期举行，做好立项、概算、测评项等前期工作。</w:t>
      </w:r>
    </w:p>
    <w:p w14:paraId="4D1404E9">
      <w:pPr>
        <w:wordWrap w:val="0"/>
        <w:spacing w:line="360" w:lineRule="auto"/>
        <w:ind w:firstLine="840"/>
        <w:jc w:val="both"/>
        <w:rPr>
          <w:rFonts w:hint="eastAsia" w:ascii="仿宋" w:hAnsi="仿宋" w:eastAsia="仿宋" w:cs="仿宋"/>
          <w:sz w:val="32"/>
          <w:szCs w:val="32"/>
        </w:rPr>
      </w:pPr>
      <w:r>
        <w:rPr>
          <w:rFonts w:hint="eastAsia" w:ascii="仿宋" w:hAnsi="仿宋" w:eastAsia="仿宋" w:cs="仿宋"/>
          <w:b/>
          <w:color w:val="000000"/>
          <w:sz w:val="32"/>
          <w:szCs w:val="32"/>
        </w:rPr>
        <w:t>（三）专项资金使用绩效存在的问题</w:t>
      </w:r>
    </w:p>
    <w:p w14:paraId="30FCEEFB">
      <w:pPr>
        <w:wordWrap w:val="0"/>
        <w:spacing w:line="360" w:lineRule="auto"/>
        <w:ind w:left="60" w:right="200" w:firstLine="700"/>
        <w:jc w:val="both"/>
        <w:rPr>
          <w:rFonts w:hint="eastAsia" w:ascii="仿宋" w:hAnsi="仿宋" w:eastAsia="仿宋" w:cs="仿宋"/>
          <w:sz w:val="32"/>
          <w:szCs w:val="32"/>
        </w:rPr>
      </w:pPr>
      <w:r>
        <w:rPr>
          <w:rFonts w:hint="eastAsia" w:ascii="仿宋" w:hAnsi="仿宋" w:eastAsia="仿宋" w:cs="仿宋"/>
          <w:color w:val="000000"/>
          <w:sz w:val="32"/>
          <w:szCs w:val="32"/>
        </w:rPr>
        <w:t>中心截止2023年12月31日，</w:t>
      </w:r>
      <w:r>
        <w:rPr>
          <w:rFonts w:hint="eastAsia" w:ascii="仿宋" w:hAnsi="仿宋" w:eastAsia="仿宋" w:cs="仿宋"/>
          <w:color w:val="000000"/>
          <w:sz w:val="32"/>
          <w:szCs w:val="32"/>
        </w:rPr>
        <w:t>“竞技体育项目”实际支出金额为</w:t>
      </w:r>
      <w:r>
        <w:rPr>
          <w:rFonts w:hint="eastAsia" w:ascii="仿宋" w:hAnsi="仿宋" w:eastAsia="仿宋" w:cs="仿宋"/>
          <w:color w:val="000000"/>
          <w:sz w:val="32"/>
          <w:szCs w:val="32"/>
          <w:lang w:val="en-US" w:eastAsia="zh-CN"/>
        </w:rPr>
        <w:t>3044.66</w:t>
      </w:r>
      <w:r>
        <w:rPr>
          <w:rFonts w:hint="eastAsia" w:ascii="仿宋" w:hAnsi="仿宋" w:eastAsia="仿宋" w:cs="仿宋"/>
          <w:color w:val="000000"/>
          <w:sz w:val="32"/>
          <w:szCs w:val="32"/>
        </w:rPr>
        <w:t>万元，专项资金支出率为89.51％。</w:t>
      </w:r>
      <w:r>
        <w:rPr>
          <w:rFonts w:hint="eastAsia" w:ascii="仿宋" w:hAnsi="仿宋" w:eastAsia="仿宋" w:cs="仿宋"/>
          <w:color w:val="000000"/>
          <w:sz w:val="32"/>
          <w:szCs w:val="32"/>
        </w:rPr>
        <w:t>支付率未达到100％的主要情况是：</w:t>
      </w:r>
    </w:p>
    <w:p w14:paraId="44BD7D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color w:val="000000"/>
          <w:sz w:val="32"/>
          <w:szCs w:val="32"/>
        </w:rPr>
        <w:t>一</w:t>
      </w:r>
      <w:r>
        <w:rPr>
          <w:rFonts w:hint="eastAsia" w:ascii="仿宋" w:hAnsi="仿宋" w:eastAsia="仿宋" w:cs="仿宋"/>
          <w:b w:val="0"/>
          <w:bCs w:val="0"/>
          <w:color w:val="000000"/>
          <w:sz w:val="32"/>
          <w:szCs w:val="32"/>
          <w:lang w:val="en-US" w:eastAsia="zh-CN"/>
        </w:rPr>
        <w:t>是</w:t>
      </w:r>
      <w:r>
        <w:rPr>
          <w:rFonts w:hint="eastAsia" w:ascii="仿宋" w:hAnsi="仿宋" w:eastAsia="仿宋" w:cs="仿宋"/>
          <w:b w:val="0"/>
          <w:bCs w:val="0"/>
          <w:sz w:val="32"/>
          <w:szCs w:val="32"/>
          <w:lang w:val="en-US" w:eastAsia="zh-CN"/>
        </w:rPr>
        <w:t>教练员队伍水平不足，中心虽然有外教介入训练，但频繁更换外教，没有形成稳定的执教风格，没有形成统一的技战术体系。二</w:t>
      </w:r>
      <w:r>
        <w:rPr>
          <w:rFonts w:hint="eastAsia" w:ascii="仿宋" w:hAnsi="仿宋" w:eastAsia="仿宋" w:cs="仿宋"/>
          <w:b w:val="0"/>
          <w:bCs w:val="0"/>
          <w:kern w:val="2"/>
          <w:sz w:val="32"/>
          <w:szCs w:val="32"/>
          <w:lang w:val="en-US" w:eastAsia="zh-CN" w:bidi="ar-SA"/>
        </w:rPr>
        <w:t>是由于国家队</w:t>
      </w:r>
      <w:r>
        <w:rPr>
          <w:rFonts w:hint="eastAsia" w:ascii="仿宋" w:hAnsi="仿宋" w:eastAsia="仿宋" w:cs="仿宋"/>
          <w:kern w:val="2"/>
          <w:sz w:val="32"/>
          <w:szCs w:val="32"/>
          <w:lang w:val="en-US" w:eastAsia="zh-CN" w:bidi="ar-SA"/>
        </w:rPr>
        <w:t>未提供针对诺卡拉级别的经费，该级别运动员出国训练和参赛的所有经费均由我中心承担，导致我中心出国经费增加。</w:t>
      </w:r>
    </w:p>
    <w:p w14:paraId="62349590">
      <w:pPr>
        <w:wordWrap w:val="0"/>
        <w:spacing w:line="360" w:lineRule="auto"/>
        <w:ind w:firstLine="8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w:t>
      </w:r>
      <w:r>
        <w:rPr>
          <w:rFonts w:hint="eastAsia" w:ascii="仿宋" w:hAnsi="仿宋" w:eastAsia="仿宋" w:cs="仿宋"/>
          <w:sz w:val="32"/>
          <w:szCs w:val="32"/>
        </w:rPr>
        <w:t>预算管理不到位，在预算的执行过程中，未将预算编制工作做细、做实</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w:t>
      </w:r>
    </w:p>
    <w:p w14:paraId="3CFCA2D8">
      <w:pPr>
        <w:wordWrap w:val="0"/>
        <w:spacing w:line="360" w:lineRule="auto"/>
        <w:ind w:left="20" w:right="20" w:firstLine="660"/>
        <w:jc w:val="both"/>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运动队保障</w:t>
      </w:r>
      <w:r>
        <w:rPr>
          <w:rFonts w:hint="eastAsia" w:ascii="仿宋" w:hAnsi="仿宋" w:eastAsia="仿宋" w:cs="仿宋"/>
          <w:color w:val="000000"/>
          <w:sz w:val="32"/>
          <w:szCs w:val="32"/>
        </w:rPr>
        <w:t>项目经费预算执行率</w:t>
      </w:r>
      <w:r>
        <w:rPr>
          <w:rFonts w:hint="eastAsia" w:ascii="仿宋" w:hAnsi="仿宋" w:eastAsia="仿宋" w:cs="仿宋"/>
          <w:color w:val="000000"/>
          <w:sz w:val="32"/>
          <w:szCs w:val="32"/>
          <w:lang w:val="en-US" w:eastAsia="zh-CN"/>
        </w:rPr>
        <w:t>69.16</w:t>
      </w:r>
      <w:r>
        <w:rPr>
          <w:rFonts w:hint="eastAsia" w:ascii="仿宋" w:hAnsi="仿宋" w:eastAsia="仿宋" w:cs="仿宋"/>
          <w:color w:val="000000"/>
          <w:sz w:val="32"/>
          <w:szCs w:val="32"/>
        </w:rPr>
        <w:t>％，支付率未能达到100％的主要原因是：</w:t>
      </w:r>
      <w:r>
        <w:rPr>
          <w:rFonts w:hint="eastAsia" w:ascii="仿宋" w:hAnsi="仿宋" w:eastAsia="仿宋" w:cs="仿宋"/>
          <w:color w:val="000000"/>
          <w:sz w:val="32"/>
          <w:szCs w:val="32"/>
          <w:lang w:val="en-US" w:eastAsia="zh-CN"/>
        </w:rPr>
        <w:t>运动队保障项目的零星维修工程2023年下旬才开始招标，时间较晚，导致工程当年无法完工，结转第二年继续</w:t>
      </w:r>
      <w:r>
        <w:rPr>
          <w:rFonts w:hint="eastAsia" w:ascii="仿宋" w:hAnsi="仿宋" w:eastAsia="仿宋" w:cs="仿宋"/>
          <w:color w:val="000000"/>
          <w:sz w:val="32"/>
          <w:szCs w:val="32"/>
        </w:rPr>
        <w:t>，后期工作在跟进中。</w:t>
      </w:r>
      <w:bookmarkStart w:id="0" w:name="_GoBack"/>
      <w:bookmarkEnd w:id="0"/>
    </w:p>
    <w:p w14:paraId="2A80E916">
      <w:pPr>
        <w:wordWrap w:val="0"/>
        <w:spacing w:before="32" w:line="360" w:lineRule="auto"/>
        <w:ind w:firstLine="660"/>
        <w:jc w:val="both"/>
        <w:rPr>
          <w:rFonts w:hint="eastAsia" w:ascii="仿宋" w:hAnsi="仿宋" w:eastAsia="仿宋" w:cs="仿宋"/>
          <w:sz w:val="32"/>
          <w:szCs w:val="32"/>
        </w:rPr>
      </w:pPr>
      <w:r>
        <w:rPr>
          <w:rFonts w:hint="eastAsia" w:ascii="仿宋" w:hAnsi="仿宋" w:eastAsia="仿宋" w:cs="仿宋"/>
          <w:b/>
          <w:color w:val="000000"/>
          <w:sz w:val="32"/>
          <w:szCs w:val="32"/>
        </w:rPr>
        <w:t>三、改进意见</w:t>
      </w:r>
    </w:p>
    <w:p w14:paraId="5438698A">
      <w:pPr>
        <w:wordWrap w:val="0"/>
        <w:spacing w:line="360" w:lineRule="auto"/>
        <w:ind w:firstLine="1380"/>
        <w:jc w:val="both"/>
        <w:rPr>
          <w:rFonts w:hint="eastAsia" w:ascii="仿宋" w:hAnsi="仿宋" w:eastAsia="仿宋" w:cs="仿宋"/>
          <w:sz w:val="32"/>
          <w:szCs w:val="32"/>
        </w:rPr>
      </w:pPr>
      <w:r>
        <w:rPr>
          <w:rFonts w:hint="eastAsia" w:ascii="仿宋" w:hAnsi="仿宋" w:eastAsia="仿宋" w:cs="仿宋"/>
          <w:color w:val="000000"/>
          <w:sz w:val="32"/>
          <w:szCs w:val="32"/>
        </w:rPr>
        <w:t>无。</w:t>
      </w:r>
    </w:p>
    <w:sectPr>
      <w:headerReference r:id="rId13" w:type="default"/>
      <w:footerReference r:id="rId14" w:type="default"/>
      <w:type w:val="continuous"/>
      <w:pgSz w:w="11900" w:h="16820"/>
      <w:pgMar w:top="1920" w:right="1200" w:bottom="2880" w:left="1200" w:header="96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34C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FBF2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7EA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72C4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AB0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617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558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EF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452A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B4C1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A0DC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DE0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4Y2NhNDUzNjZkOWZjZTA0MTA3YzVlN2ExYzU1YTUifQ=="/>
  </w:docVars>
  <w:rsids>
    <w:rsidRoot w:val="00BD0BC8"/>
    <w:rsid w:val="000D6051"/>
    <w:rsid w:val="009F0BE0"/>
    <w:rsid w:val="00BA6D97"/>
    <w:rsid w:val="00BD0BC8"/>
    <w:rsid w:val="03E56DE9"/>
    <w:rsid w:val="11B51EA7"/>
    <w:rsid w:val="1AB827CE"/>
    <w:rsid w:val="2C0B735F"/>
    <w:rsid w:val="48B06E48"/>
    <w:rsid w:val="51544824"/>
    <w:rsid w:val="635C0D23"/>
    <w:rsid w:val="68706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sz w:val="21"/>
      <w:szCs w:val="2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widowControl w:val="0"/>
      <w:spacing w:line="360" w:lineRule="auto"/>
      <w:ind w:firstLine="420" w:firstLineChars="200"/>
      <w:jc w:val="both"/>
      <w:textAlignment w:val="baseline"/>
    </w:pPr>
    <w:rPr>
      <w:rFonts w:ascii="Times New Roman" w:hAnsi="Times New Roman" w:eastAsia="宋体" w:cs="Times New Roman"/>
      <w:kern w:val="2"/>
      <w:sz w:val="24"/>
      <w:szCs w:val="24"/>
      <w:lang w:val="en-US" w:eastAsia="zh-CN" w:bidi="ar-SA"/>
    </w:rPr>
  </w:style>
  <w:style w:type="paragraph" w:customStyle="1" w:styleId="3">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7536</Words>
  <Characters>8619</Characters>
  <TotalTime>3</TotalTime>
  <ScaleCrop>false</ScaleCrop>
  <LinksUpToDate>false</LinksUpToDate>
  <CharactersWithSpaces>8627</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2024-08-26T08:50:12Z</dcterms:created>
  <dc:creator>INTSIG</dc:creator>
  <dc:description>Intsig Word Converter</dc:description>
  <cp:lastModifiedBy>吴锡毫</cp:lastModifiedBy>
  <dcterms:modified xsi:type="dcterms:W3CDTF">2024-08-27T07:04:42Z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9EBB806AE0364116A748809F0BF7A38D_12</vt:lpwstr>
  </property>
</Properties>
</file>