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58B81">
      <w:pPr>
        <w:spacing w:line="360" w:lineRule="auto"/>
        <w:jc w:val="center"/>
        <w:rPr>
          <w:rFonts w:hint="eastAsia" w:ascii="方正小标宋简体" w:hAnsi="方正小标宋简体" w:eastAsia="方正小标宋简体" w:cs="方正小标宋简体"/>
          <w:color w:val="auto"/>
          <w:sz w:val="36"/>
          <w:szCs w:val="36"/>
          <w:lang w:eastAsia="zh-CN"/>
        </w:rPr>
      </w:pPr>
      <w:bookmarkStart w:id="0" w:name="_GoBack"/>
      <w:r>
        <w:rPr>
          <w:rFonts w:hint="eastAsia" w:ascii="方正小标宋简体" w:hAnsi="方正小标宋简体" w:eastAsia="方正小标宋简体" w:cs="方正小标宋简体"/>
          <w:color w:val="auto"/>
          <w:sz w:val="36"/>
          <w:szCs w:val="36"/>
        </w:rPr>
        <w:t>《全民健身赛事活动安全技术规范》</w:t>
      </w:r>
      <w:r>
        <w:rPr>
          <w:rFonts w:hint="eastAsia" w:ascii="方正小标宋简体" w:hAnsi="方正小标宋简体" w:eastAsia="方正小标宋简体" w:cs="方正小标宋简体"/>
          <w:color w:val="auto"/>
          <w:sz w:val="36"/>
          <w:szCs w:val="36"/>
          <w:lang w:eastAsia="zh-CN"/>
        </w:rPr>
        <w:t>（</w:t>
      </w:r>
      <w:r>
        <w:rPr>
          <w:rFonts w:hint="eastAsia" w:ascii="方正小标宋简体" w:hAnsi="方正小标宋简体" w:eastAsia="方正小标宋简体" w:cs="方正小标宋简体"/>
          <w:color w:val="auto"/>
          <w:sz w:val="36"/>
          <w:szCs w:val="36"/>
          <w:lang w:val="en-US" w:eastAsia="zh-CN"/>
        </w:rPr>
        <w:t>送审稿</w:t>
      </w:r>
      <w:r>
        <w:rPr>
          <w:rFonts w:hint="eastAsia" w:ascii="方正小标宋简体" w:hAnsi="方正小标宋简体" w:eastAsia="方正小标宋简体" w:cs="方正小标宋简体"/>
          <w:color w:val="auto"/>
          <w:sz w:val="36"/>
          <w:szCs w:val="36"/>
          <w:lang w:eastAsia="zh-CN"/>
        </w:rPr>
        <w:t>）</w:t>
      </w:r>
    </w:p>
    <w:p w14:paraId="18951841">
      <w:pPr>
        <w:spacing w:line="360" w:lineRule="auto"/>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编制说明</w:t>
      </w:r>
    </w:p>
    <w:p w14:paraId="020DBA3D">
      <w:pPr>
        <w:spacing w:line="360" w:lineRule="auto"/>
        <w:ind w:firstLine="562" w:firstLineChars="20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一、工作简况</w:t>
      </w:r>
    </w:p>
    <w:p w14:paraId="68FF5400">
      <w:pPr>
        <w:pStyle w:val="15"/>
        <w:numPr>
          <w:ilvl w:val="0"/>
          <w:numId w:val="3"/>
        </w:numPr>
        <w:spacing w:line="360" w:lineRule="auto"/>
        <w:ind w:firstLineChars="0"/>
        <w:rPr>
          <w:rFonts w:ascii="宋体" w:hAnsi="宋体" w:eastAsia="宋体" w:cs="宋体"/>
          <w:bCs/>
          <w:color w:val="auto"/>
          <w:sz w:val="28"/>
          <w:szCs w:val="28"/>
        </w:rPr>
      </w:pPr>
      <w:r>
        <w:rPr>
          <w:rFonts w:hint="eastAsia" w:ascii="宋体" w:hAnsi="宋体" w:eastAsia="宋体" w:cs="宋体"/>
          <w:bCs/>
          <w:color w:val="auto"/>
          <w:sz w:val="28"/>
          <w:szCs w:val="28"/>
        </w:rPr>
        <w:t xml:space="preserve">任务来源 </w:t>
      </w:r>
    </w:p>
    <w:p w14:paraId="1703B0C9">
      <w:pPr>
        <w:spacing w:line="360" w:lineRule="auto"/>
        <w:ind w:firstLine="560" w:firstLineChars="200"/>
        <w:rPr>
          <w:rFonts w:ascii="宋体" w:hAnsi="宋体" w:eastAsia="宋体" w:cs="宋体"/>
          <w:bCs/>
          <w:color w:val="auto"/>
          <w:sz w:val="28"/>
          <w:szCs w:val="28"/>
        </w:rPr>
      </w:pPr>
      <w:r>
        <w:rPr>
          <w:rFonts w:hint="eastAsia" w:ascii="宋体" w:hAnsi="宋体" w:eastAsia="宋体" w:cs="宋体"/>
          <w:bCs/>
          <w:color w:val="auto"/>
          <w:sz w:val="28"/>
          <w:szCs w:val="28"/>
        </w:rPr>
        <w:t>近年来中共中央办公厅、国务院办公厅印发了《全民健身计划（2021—2025年）》《关于构建更高水平的全民健身公共服务体系的意见》，鼓励广泛开展全民健身赛事活动，支持各地利用自身资源优势培育全民健身赛事活动品牌，鼓励京津冀、长三角、粤港澳大湾区、成渝地区双城经济圈等区域联合打造全民健身赛事活动品牌，促进区域间全民健身协同发展；要构建多层次多样化的赛事活动体系，加强赛事安全管理，落实赛事举办方安全主体责任，严格赛事安全监管责任。国家体育总局发布《关于进一步加强体育赛事活动安全监管服务的意见》《体育总局关于建立健全体育赛事活动“熔断”机制的通知》，明确指出按照“谁审批（备案）、谁负责”“谁主办、谁负责”“谁主管、谁负责”的要求，全面加强体育赛事活动安全监管；进一步提升体育赛事活动安全监管水平，提高应急处置能力，建立健全体育赛事活动“熔断”机制。</w:t>
      </w:r>
    </w:p>
    <w:p w14:paraId="23310D9F">
      <w:pPr>
        <w:spacing w:line="360" w:lineRule="auto"/>
        <w:ind w:firstLine="560" w:firstLineChars="200"/>
        <w:rPr>
          <w:rFonts w:ascii="宋体" w:hAnsi="宋体" w:eastAsia="宋体" w:cs="宋体"/>
          <w:bCs/>
          <w:color w:val="auto"/>
          <w:sz w:val="28"/>
          <w:szCs w:val="28"/>
        </w:rPr>
      </w:pPr>
      <w:r>
        <w:rPr>
          <w:rFonts w:hint="eastAsia" w:ascii="宋体" w:hAnsi="宋体" w:eastAsia="宋体" w:cs="宋体"/>
          <w:bCs/>
          <w:color w:val="auto"/>
          <w:sz w:val="28"/>
          <w:szCs w:val="28"/>
        </w:rPr>
        <w:t>《广东省“十四五”体育发展规划》指出，“十四五”时期，我省要严格落实全民健身和健康中国国家战略，提高人民身体素质和健康水平，深入开展全民健身赛事活动。“十三五”期间，我省平均每年举办县级以上体育赛事活动5000多项次，经常参加体育锻炼人数超4500万人；各级各类群众体育赛事活动数量激增，南粤古驿道定向大赛、群众体育龙狮比赛、少数民族传统体育运动会等，极大丰富了广大人民群众的业余文化生活。</w:t>
      </w:r>
    </w:p>
    <w:p w14:paraId="65136208">
      <w:pPr>
        <w:pStyle w:val="15"/>
        <w:numPr>
          <w:ilvl w:val="0"/>
          <w:numId w:val="3"/>
        </w:numPr>
        <w:spacing w:line="360" w:lineRule="auto"/>
        <w:ind w:firstLineChars="0"/>
        <w:rPr>
          <w:rFonts w:ascii="宋体" w:hAnsi="宋体" w:eastAsia="宋体" w:cs="宋体"/>
          <w:bCs/>
          <w:color w:val="auto"/>
          <w:sz w:val="28"/>
          <w:szCs w:val="28"/>
        </w:rPr>
      </w:pPr>
      <w:r>
        <w:rPr>
          <w:rFonts w:hint="eastAsia" w:ascii="宋体" w:hAnsi="宋体" w:eastAsia="宋体" w:cs="宋体"/>
          <w:bCs/>
          <w:color w:val="auto"/>
          <w:sz w:val="28"/>
          <w:szCs w:val="28"/>
        </w:rPr>
        <w:t>制定背景</w:t>
      </w:r>
    </w:p>
    <w:p w14:paraId="56F27D97">
      <w:pPr>
        <w:spacing w:line="360" w:lineRule="auto"/>
        <w:ind w:firstLine="560" w:firstLineChars="200"/>
        <w:rPr>
          <w:rFonts w:ascii="宋体" w:hAnsi="宋体" w:eastAsia="宋体" w:cs="宋体"/>
          <w:color w:val="auto"/>
          <w:sz w:val="28"/>
          <w:szCs w:val="28"/>
        </w:rPr>
      </w:pPr>
      <w:r>
        <w:rPr>
          <w:rFonts w:hint="eastAsia" w:ascii="宋体" w:hAnsi="宋体" w:eastAsia="宋体" w:cs="宋体"/>
          <w:bCs/>
          <w:color w:val="auto"/>
          <w:sz w:val="28"/>
          <w:szCs w:val="28"/>
        </w:rPr>
        <w:t>近年来，由于办赛机构资质良莠不齐、赛事活动安全技术标准不统一和监管不到位导致产生了各类安全隐患。广东省体育局持续关注体育赛事活动在经历爆发式增长后所暴露出的问题，严格落实“管行业必须管安全，管业务必须管安全，管生产经营必须管安全”的要求，有必要建立健全赛事活动安全工作机制，落实安全主体责任。为此，广东省体育局提出《全民健身赛事活动安全技术规范》标准制定工作，旨在通过标准化手段，总结赛事活动共性，明确安全风险和关键节点的技术要求，把赛事标准化作为提升体育赛事服务能力和推动赛事活动安全有序开展的重要手段之一。研制《全民健身赛事活动安全技术规范》地方标准的目的和意义具体主要体现在以</w:t>
      </w:r>
      <w:r>
        <w:rPr>
          <w:rFonts w:hint="eastAsia" w:ascii="宋体" w:hAnsi="宋体" w:eastAsia="宋体" w:cs="宋体"/>
          <w:color w:val="auto"/>
          <w:sz w:val="28"/>
          <w:szCs w:val="28"/>
        </w:rPr>
        <w:t>下方面：</w:t>
      </w:r>
    </w:p>
    <w:p w14:paraId="5D8E2B2E">
      <w:pPr>
        <w:pStyle w:val="15"/>
        <w:numPr>
          <w:ilvl w:val="0"/>
          <w:numId w:val="4"/>
        </w:numPr>
        <w:spacing w:line="360" w:lineRule="auto"/>
        <w:ind w:firstLineChars="0"/>
        <w:rPr>
          <w:rFonts w:ascii="宋体" w:hAnsi="宋体" w:eastAsia="宋体" w:cs="宋体"/>
          <w:bCs/>
          <w:color w:val="auto"/>
          <w:sz w:val="28"/>
          <w:szCs w:val="28"/>
        </w:rPr>
      </w:pPr>
      <w:r>
        <w:rPr>
          <w:rFonts w:hint="eastAsia" w:ascii="宋体" w:hAnsi="宋体" w:eastAsia="宋体" w:cs="宋体"/>
          <w:bCs/>
          <w:color w:val="auto"/>
          <w:sz w:val="28"/>
          <w:szCs w:val="28"/>
        </w:rPr>
        <w:t>有助于落实相关政策要求，为办赛提供技术支撑</w:t>
      </w:r>
    </w:p>
    <w:p w14:paraId="2E5EDC88">
      <w:pPr>
        <w:spacing w:line="360" w:lineRule="auto"/>
        <w:ind w:firstLine="560" w:firstLineChars="200"/>
        <w:rPr>
          <w:rFonts w:ascii="宋体" w:hAnsi="宋体" w:eastAsia="宋体" w:cs="宋体"/>
          <w:bCs/>
          <w:color w:val="auto"/>
          <w:sz w:val="28"/>
          <w:szCs w:val="28"/>
        </w:rPr>
      </w:pPr>
      <w:r>
        <w:rPr>
          <w:rFonts w:hint="eastAsia" w:ascii="宋体" w:hAnsi="宋体" w:eastAsia="宋体" w:cs="宋体"/>
          <w:bCs/>
          <w:color w:val="auto"/>
          <w:sz w:val="28"/>
          <w:szCs w:val="28"/>
        </w:rPr>
        <w:t>紧密结合各级政策要求，通过开展技术标准研制，细化赛事活动工作流程和工作文件，给出赛事活动申办和备案、赛事活动组织、赛事活动服务、赛事活动监管等方面政策要求的实现路径，配套详细的附录文件指导办赛机构安全有序开展工作，落实赛事活动安全主体责任。</w:t>
      </w:r>
    </w:p>
    <w:p w14:paraId="7576B565">
      <w:pPr>
        <w:pStyle w:val="15"/>
        <w:numPr>
          <w:ilvl w:val="0"/>
          <w:numId w:val="4"/>
        </w:numPr>
        <w:spacing w:line="360" w:lineRule="auto"/>
        <w:ind w:firstLineChars="0"/>
        <w:rPr>
          <w:rFonts w:ascii="宋体" w:hAnsi="宋体" w:eastAsia="宋体" w:cs="宋体"/>
          <w:bCs/>
          <w:color w:val="auto"/>
          <w:sz w:val="28"/>
          <w:szCs w:val="28"/>
        </w:rPr>
      </w:pPr>
      <w:r>
        <w:rPr>
          <w:rFonts w:hint="eastAsia" w:ascii="宋体" w:hAnsi="宋体" w:eastAsia="宋体" w:cs="宋体"/>
          <w:bCs/>
          <w:color w:val="auto"/>
          <w:sz w:val="28"/>
          <w:szCs w:val="28"/>
        </w:rPr>
        <w:t>有助于降低赛事风险，推广全民健身赛事活动</w:t>
      </w:r>
    </w:p>
    <w:p w14:paraId="4E866F19">
      <w:pPr>
        <w:spacing w:line="360" w:lineRule="auto"/>
        <w:ind w:firstLine="560" w:firstLineChars="200"/>
        <w:rPr>
          <w:rFonts w:ascii="宋体" w:hAnsi="宋体" w:eastAsia="宋体" w:cs="宋体"/>
          <w:bCs/>
          <w:color w:val="auto"/>
          <w:sz w:val="28"/>
          <w:szCs w:val="28"/>
        </w:rPr>
      </w:pPr>
      <w:r>
        <w:rPr>
          <w:rFonts w:hint="eastAsia" w:ascii="宋体" w:hAnsi="宋体" w:eastAsia="宋体" w:cs="宋体"/>
          <w:bCs/>
          <w:color w:val="auto"/>
          <w:sz w:val="28"/>
          <w:szCs w:val="28"/>
        </w:rPr>
        <w:t>通过开展广东省全民健身赛事活动安全技术规范标准化工作，对赛事活动举办中易发生危及公共安全和参赛者人身安全的各类风险和突发事件制定包括医疗、救援、消防等在内的安全风险防范和应急处置预案，建立完善赛事活动“熔断”机制，规范全民健身赛事安全健康有序发展，有利于加强基层体育组织建设，大力推广全民健身赛事活动的举办，推进全民健身融合发展，营造全民健身社会氛围，打造粤港澳大湾区全民健身赛事活动品牌。</w:t>
      </w:r>
    </w:p>
    <w:p w14:paraId="34E77948">
      <w:pPr>
        <w:pStyle w:val="15"/>
        <w:numPr>
          <w:ilvl w:val="0"/>
          <w:numId w:val="4"/>
        </w:numPr>
        <w:spacing w:line="360" w:lineRule="auto"/>
        <w:ind w:firstLineChars="0"/>
        <w:rPr>
          <w:rFonts w:ascii="宋体" w:hAnsi="宋体" w:eastAsia="宋体" w:cs="宋体"/>
          <w:bCs/>
          <w:color w:val="auto"/>
          <w:sz w:val="28"/>
          <w:szCs w:val="28"/>
        </w:rPr>
      </w:pPr>
      <w:r>
        <w:rPr>
          <w:rFonts w:hint="eastAsia" w:ascii="宋体" w:hAnsi="宋体" w:eastAsia="宋体" w:cs="宋体"/>
          <w:bCs/>
          <w:color w:val="auto"/>
          <w:sz w:val="28"/>
          <w:szCs w:val="28"/>
        </w:rPr>
        <w:t>有助于加强广东省体育赛事活动安全监管服务</w:t>
      </w:r>
    </w:p>
    <w:p w14:paraId="0871323C">
      <w:pPr>
        <w:spacing w:line="360" w:lineRule="auto"/>
        <w:ind w:firstLine="560" w:firstLineChars="200"/>
        <w:rPr>
          <w:rFonts w:ascii="宋体" w:hAnsi="宋体" w:eastAsia="宋体" w:cs="宋体"/>
          <w:bCs/>
          <w:color w:val="auto"/>
          <w:sz w:val="28"/>
          <w:szCs w:val="28"/>
        </w:rPr>
      </w:pPr>
      <w:r>
        <w:rPr>
          <w:rFonts w:hint="eastAsia" w:ascii="宋体" w:hAnsi="宋体" w:eastAsia="宋体" w:cs="宋体"/>
          <w:bCs/>
          <w:color w:val="auto"/>
          <w:sz w:val="28"/>
          <w:szCs w:val="28"/>
        </w:rPr>
        <w:t>标准发布后，可依托标准中赛事筹备、安全保障、应急处置、赛后总结和监管等具体技术要点，开展标准实施监督、赛事办赛主体服务认证、赛事监管平台建设与应用等标准化工作，有利于创新工作模式，提升工作效能，加强全民健身赛事活动安全监管，保障广东省体育局的各项工作规范、有序、高效、安全地运行。</w:t>
      </w:r>
    </w:p>
    <w:p w14:paraId="1A865D71">
      <w:pPr>
        <w:pStyle w:val="15"/>
        <w:numPr>
          <w:ilvl w:val="0"/>
          <w:numId w:val="4"/>
        </w:numPr>
        <w:spacing w:line="360" w:lineRule="auto"/>
        <w:ind w:firstLineChars="0"/>
        <w:rPr>
          <w:rFonts w:ascii="宋体" w:hAnsi="宋体" w:eastAsia="宋体" w:cs="宋体"/>
          <w:bCs/>
          <w:color w:val="auto"/>
          <w:sz w:val="28"/>
          <w:szCs w:val="28"/>
        </w:rPr>
      </w:pPr>
      <w:r>
        <w:rPr>
          <w:rFonts w:hint="eastAsia" w:ascii="宋体" w:hAnsi="宋体" w:eastAsia="宋体" w:cs="宋体"/>
          <w:bCs/>
          <w:color w:val="auto"/>
          <w:sz w:val="28"/>
          <w:szCs w:val="28"/>
        </w:rPr>
        <w:t>有助于广东省全民健身赛事标准体系建设</w:t>
      </w:r>
    </w:p>
    <w:p w14:paraId="114E1B3B">
      <w:pPr>
        <w:spacing w:line="360" w:lineRule="auto"/>
        <w:ind w:firstLine="560" w:firstLineChars="200"/>
        <w:rPr>
          <w:rFonts w:ascii="宋体" w:hAnsi="宋体" w:eastAsia="宋体" w:cs="宋体"/>
          <w:bCs/>
          <w:color w:val="auto"/>
          <w:sz w:val="28"/>
          <w:szCs w:val="28"/>
        </w:rPr>
      </w:pPr>
      <w:r>
        <w:rPr>
          <w:rFonts w:hint="eastAsia" w:ascii="宋体" w:hAnsi="宋体" w:eastAsia="宋体" w:cs="宋体"/>
          <w:bCs/>
          <w:color w:val="auto"/>
          <w:sz w:val="28"/>
          <w:szCs w:val="28"/>
        </w:rPr>
        <w:t>通过制定赛事活动安全规范标准，有利于形成广东省全民健身赛事标准体系。科学系统、有机整体的标准体系，有利于全民健身赛事在赛事运行、人才培养、行业发展等方面协同发展，引导行业高质量发展具有重要意义。</w:t>
      </w:r>
    </w:p>
    <w:p w14:paraId="7A2B0F5B">
      <w:pPr>
        <w:pStyle w:val="15"/>
        <w:numPr>
          <w:ilvl w:val="0"/>
          <w:numId w:val="3"/>
        </w:numPr>
        <w:spacing w:line="360" w:lineRule="auto"/>
        <w:ind w:firstLineChars="0"/>
        <w:rPr>
          <w:rFonts w:ascii="宋体" w:hAnsi="宋体" w:eastAsia="宋体" w:cs="宋体"/>
          <w:bCs/>
          <w:color w:val="auto"/>
          <w:sz w:val="28"/>
          <w:szCs w:val="28"/>
        </w:rPr>
      </w:pPr>
      <w:r>
        <w:rPr>
          <w:rFonts w:hint="eastAsia" w:ascii="宋体" w:hAnsi="宋体" w:eastAsia="宋体" w:cs="宋体"/>
          <w:bCs/>
          <w:color w:val="auto"/>
          <w:sz w:val="28"/>
          <w:szCs w:val="28"/>
        </w:rPr>
        <w:t>起草过程</w:t>
      </w:r>
    </w:p>
    <w:p w14:paraId="6B3886A5">
      <w:pPr>
        <w:pStyle w:val="15"/>
        <w:spacing w:line="360" w:lineRule="auto"/>
        <w:ind w:firstLine="565" w:firstLineChars="202"/>
        <w:rPr>
          <w:rFonts w:ascii="宋体" w:hAnsi="宋体" w:eastAsia="宋体" w:cs="宋体"/>
          <w:bCs/>
          <w:color w:val="auto"/>
          <w:sz w:val="28"/>
          <w:szCs w:val="28"/>
        </w:rPr>
      </w:pPr>
      <w:r>
        <w:rPr>
          <w:rFonts w:hint="eastAsia" w:ascii="宋体" w:hAnsi="宋体" w:eastAsia="宋体" w:cs="宋体"/>
          <w:bCs/>
          <w:color w:val="auto"/>
          <w:sz w:val="28"/>
          <w:szCs w:val="28"/>
        </w:rPr>
        <w:t>2022年10月，广东省体育局组织开展了《全民健身赛事活动安全技术规范》标准研制工作，由广东省体育局、广东省社会体育和训练竞赛中心、北京华安联合认证检测中心有限公司、广东省体育科学研究所、广州体育学院共同组建标准起草组。集中技术人员开始对《全民健身赛事活动安全技术规范》相关技术资料、政策文件进行梳理。</w:t>
      </w:r>
    </w:p>
    <w:p w14:paraId="116A458B">
      <w:pPr>
        <w:pStyle w:val="15"/>
        <w:spacing w:line="360" w:lineRule="auto"/>
        <w:ind w:firstLine="565" w:firstLineChars="202"/>
        <w:rPr>
          <w:rFonts w:ascii="宋体" w:hAnsi="宋体" w:eastAsia="宋体" w:cs="宋体"/>
          <w:bCs/>
          <w:color w:val="auto"/>
          <w:sz w:val="28"/>
          <w:szCs w:val="28"/>
        </w:rPr>
      </w:pPr>
      <w:r>
        <w:rPr>
          <w:rFonts w:hint="eastAsia" w:ascii="宋体" w:hAnsi="宋体" w:eastAsia="宋体" w:cs="宋体"/>
          <w:bCs/>
          <w:color w:val="auto"/>
          <w:sz w:val="28"/>
          <w:szCs w:val="28"/>
        </w:rPr>
        <w:t>2022年12月，起草组召开线上工作组讨论会，就标准的制定原则、标准框架、主要内容和具体的工作承担问题进行了讨论。会后起草组积极开展调查、收集资料工作。起草组广泛调查和研究全民健身体育赛事安全相关法律法规，检索相关文献，查阅相关国家标准、地方标准。通过对现有资料和成果进行汇总整理，分析归纳，在咨询专家的基础上，于2023年1月形成了标准草案。</w:t>
      </w:r>
    </w:p>
    <w:p w14:paraId="54526F21">
      <w:pPr>
        <w:pStyle w:val="15"/>
        <w:spacing w:line="360" w:lineRule="auto"/>
        <w:ind w:firstLine="565" w:firstLineChars="202"/>
        <w:rPr>
          <w:rFonts w:ascii="宋体" w:hAnsi="宋体" w:eastAsia="宋体" w:cs="宋体"/>
          <w:bCs/>
          <w:color w:val="auto"/>
          <w:sz w:val="28"/>
          <w:szCs w:val="28"/>
        </w:rPr>
      </w:pPr>
      <w:r>
        <w:rPr>
          <w:rFonts w:hint="eastAsia" w:ascii="宋体" w:hAnsi="宋体" w:eastAsia="宋体" w:cs="宋体"/>
          <w:bCs/>
          <w:color w:val="auto"/>
          <w:sz w:val="28"/>
          <w:szCs w:val="28"/>
        </w:rPr>
        <w:t>2023年3月1</w:t>
      </w:r>
      <w:r>
        <w:rPr>
          <w:rFonts w:ascii="宋体" w:hAnsi="宋体" w:eastAsia="宋体" w:cs="宋体"/>
          <w:bCs/>
          <w:color w:val="auto"/>
          <w:sz w:val="28"/>
          <w:szCs w:val="28"/>
        </w:rPr>
        <w:t>6</w:t>
      </w:r>
      <w:r>
        <w:rPr>
          <w:rFonts w:hint="eastAsia" w:ascii="宋体" w:hAnsi="宋体" w:eastAsia="宋体" w:cs="宋体"/>
          <w:bCs/>
          <w:color w:val="auto"/>
          <w:sz w:val="28"/>
          <w:szCs w:val="28"/>
        </w:rPr>
        <w:t>日，广东省体育局组织起草单位线下讨论会。会议就标准研制方向、整体框架、内容分工进行了讨论。会后，起草组对粤港澳大湾区毽球公开赛、2023年全国皮划艇静水青年锦标赛等广东省全民健身赛事活动进行现场调研。一方面与赛事主办单位、承办单位、相关协会、现场第三方赛事安全评估单位相关工作人员访谈，了解赛事的安保数量、医疗救护措施、保险、应急预案、安全风险评估内容等赛事安全等相关信息，另一方面对参赛选手、观众就报名参赛、赛事中曾遇到的突发安全事件及处理情况等进行问卷调研，了解不同人员涉及的安全风险内容。</w:t>
      </w:r>
    </w:p>
    <w:p w14:paraId="7E0D3EE6">
      <w:pPr>
        <w:spacing w:line="360" w:lineRule="auto"/>
        <w:ind w:firstLine="480"/>
        <w:rPr>
          <w:rFonts w:ascii="宋体" w:hAnsi="宋体" w:eastAsia="宋体" w:cs="宋体"/>
          <w:bCs/>
          <w:color w:val="auto"/>
          <w:sz w:val="28"/>
          <w:szCs w:val="28"/>
        </w:rPr>
      </w:pPr>
      <w:r>
        <w:rPr>
          <w:rFonts w:hint="eastAsia" w:ascii="宋体" w:hAnsi="宋体" w:eastAsia="宋体" w:cs="宋体"/>
          <w:bCs/>
          <w:color w:val="auto"/>
          <w:sz w:val="28"/>
          <w:szCs w:val="28"/>
        </w:rPr>
        <w:t>2023年5月，起草组向广东省市场监督管理局申报立项，但未获批复。起草组对全民健身赛事安全类相关政策文件、标准进行梳理，并对标准内容进行多次修改，进一步完善标准后继续申报地方标准立项。</w:t>
      </w:r>
    </w:p>
    <w:p w14:paraId="5ED0E03E">
      <w:pPr>
        <w:spacing w:line="360" w:lineRule="auto"/>
        <w:ind w:firstLine="480"/>
        <w:rPr>
          <w:rFonts w:ascii="宋体" w:hAnsi="宋体" w:eastAsia="宋体" w:cs="宋体"/>
          <w:bCs/>
          <w:color w:val="auto"/>
          <w:sz w:val="28"/>
          <w:szCs w:val="28"/>
        </w:rPr>
      </w:pPr>
      <w:r>
        <w:rPr>
          <w:rFonts w:hint="eastAsia" w:ascii="宋体" w:hAnsi="宋体" w:eastAsia="宋体" w:cs="宋体"/>
          <w:bCs/>
          <w:color w:val="auto"/>
          <w:sz w:val="28"/>
          <w:szCs w:val="28"/>
        </w:rPr>
        <w:t>2</w:t>
      </w:r>
      <w:r>
        <w:rPr>
          <w:rFonts w:ascii="宋体" w:hAnsi="宋体" w:eastAsia="宋体" w:cs="宋体"/>
          <w:bCs/>
          <w:color w:val="auto"/>
          <w:sz w:val="28"/>
          <w:szCs w:val="28"/>
        </w:rPr>
        <w:t>023</w:t>
      </w:r>
      <w:r>
        <w:rPr>
          <w:rFonts w:hint="eastAsia" w:ascii="宋体" w:hAnsi="宋体" w:eastAsia="宋体" w:cs="宋体"/>
          <w:bCs/>
          <w:color w:val="auto"/>
          <w:sz w:val="28"/>
          <w:szCs w:val="28"/>
        </w:rPr>
        <w:t>年</w:t>
      </w:r>
      <w:r>
        <w:rPr>
          <w:rFonts w:ascii="宋体" w:hAnsi="宋体" w:eastAsia="宋体" w:cs="宋体"/>
          <w:bCs/>
          <w:color w:val="auto"/>
          <w:sz w:val="28"/>
          <w:szCs w:val="28"/>
        </w:rPr>
        <w:t>8</w:t>
      </w:r>
      <w:r>
        <w:rPr>
          <w:rFonts w:hint="eastAsia" w:ascii="宋体" w:hAnsi="宋体" w:eastAsia="宋体" w:cs="宋体"/>
          <w:bCs/>
          <w:color w:val="auto"/>
          <w:sz w:val="28"/>
          <w:szCs w:val="28"/>
        </w:rPr>
        <w:t>月，起草组工作人员在参与相关安全检查工作中对广州、增城、江门等地赛事安全进行了调研。其中，调研了江门体育中心，就赛事申报、安保方案、观赛保障方案、赛事“熔断”工作方案及应急预案、应急救援预案、医疗保障方案、赛事承办协议、人员恐慌、反恐应急预案、场馆场所周边临时搭建物检查、通道容载率、动线安全情况、供应商安全资质等赛事安全文件资料进行了研究。</w:t>
      </w:r>
    </w:p>
    <w:p w14:paraId="5E6015BE">
      <w:pPr>
        <w:spacing w:line="360" w:lineRule="auto"/>
        <w:ind w:firstLine="480"/>
        <w:rPr>
          <w:rFonts w:ascii="宋体" w:hAnsi="宋体" w:eastAsia="宋体" w:cs="宋体"/>
          <w:bCs/>
          <w:color w:val="auto"/>
          <w:sz w:val="28"/>
          <w:szCs w:val="28"/>
        </w:rPr>
      </w:pPr>
      <w:r>
        <w:rPr>
          <w:rFonts w:hint="eastAsia" w:ascii="宋体" w:hAnsi="宋体" w:eastAsia="宋体" w:cs="宋体"/>
          <w:bCs/>
          <w:color w:val="auto"/>
          <w:sz w:val="28"/>
          <w:szCs w:val="28"/>
        </w:rPr>
        <w:t>2023年9月1</w:t>
      </w:r>
      <w:r>
        <w:rPr>
          <w:rFonts w:ascii="宋体" w:hAnsi="宋体" w:eastAsia="宋体" w:cs="宋体"/>
          <w:bCs/>
          <w:color w:val="auto"/>
          <w:sz w:val="28"/>
          <w:szCs w:val="28"/>
        </w:rPr>
        <w:t>5</w:t>
      </w:r>
      <w:r>
        <w:rPr>
          <w:rFonts w:hint="eastAsia" w:ascii="宋体" w:hAnsi="宋体" w:eastAsia="宋体" w:cs="宋体"/>
          <w:bCs/>
          <w:color w:val="auto"/>
          <w:sz w:val="28"/>
          <w:szCs w:val="28"/>
        </w:rPr>
        <w:t>日，广东省体育局组织起草单位线下讨论会，明确标准定位。本标准将为广东省行政区域内全民健身赛事活动安全办赛全流程的安全管理提供技术支撑。修改标准结构，按照赛前、赛中、赛后安全办赛流程进行，梳理各环节及要点，便于赛事组织者使用；完善相关文件引用，根据标准技术内容引用文件的实际情况，在规范性引用文件适当增加总局发布的相关国标、行标、政策等文件，如群众体育赛事活动四项行标，另一方面，在参考文献中增加《全民健身条例》《体育赛事活动管理办法》《高危险性体育赛事活动目录》和广东省已发布的14项相关赛事政策文件，指导赛事组织者安全办赛，同时为体育行政部门开展赛事安全监管提供技术依据。</w:t>
      </w:r>
    </w:p>
    <w:p w14:paraId="2AA0FA80">
      <w:pPr>
        <w:spacing w:line="360" w:lineRule="auto"/>
        <w:ind w:firstLine="480"/>
        <w:rPr>
          <w:rFonts w:hint="eastAsia" w:ascii="宋体" w:hAnsi="宋体" w:eastAsia="宋体" w:cs="宋体"/>
          <w:bCs/>
          <w:color w:val="auto"/>
          <w:sz w:val="28"/>
          <w:szCs w:val="28"/>
        </w:rPr>
      </w:pPr>
      <w:r>
        <w:rPr>
          <w:rFonts w:hint="eastAsia" w:ascii="宋体" w:hAnsi="宋体" w:eastAsia="宋体" w:cs="宋体"/>
          <w:bCs/>
          <w:color w:val="auto"/>
          <w:sz w:val="28"/>
          <w:szCs w:val="28"/>
        </w:rPr>
        <w:t>2</w:t>
      </w:r>
      <w:r>
        <w:rPr>
          <w:rFonts w:ascii="宋体" w:hAnsi="宋体" w:eastAsia="宋体" w:cs="宋体"/>
          <w:bCs/>
          <w:color w:val="auto"/>
          <w:sz w:val="28"/>
          <w:szCs w:val="28"/>
        </w:rPr>
        <w:t>023</w:t>
      </w:r>
      <w:r>
        <w:rPr>
          <w:rFonts w:hint="eastAsia" w:ascii="宋体" w:hAnsi="宋体" w:eastAsia="宋体" w:cs="宋体"/>
          <w:bCs/>
          <w:color w:val="auto"/>
          <w:sz w:val="28"/>
          <w:szCs w:val="28"/>
        </w:rPr>
        <w:t>年1</w:t>
      </w:r>
      <w:r>
        <w:rPr>
          <w:rFonts w:ascii="宋体" w:hAnsi="宋体" w:eastAsia="宋体" w:cs="宋体"/>
          <w:bCs/>
          <w:color w:val="auto"/>
          <w:sz w:val="28"/>
          <w:szCs w:val="28"/>
        </w:rPr>
        <w:t>0</w:t>
      </w:r>
      <w:r>
        <w:rPr>
          <w:rFonts w:hint="eastAsia" w:ascii="宋体" w:hAnsi="宋体" w:eastAsia="宋体" w:cs="宋体"/>
          <w:bCs/>
          <w:color w:val="auto"/>
          <w:sz w:val="28"/>
          <w:szCs w:val="28"/>
        </w:rPr>
        <w:t>月，广东省体育局组织内部研讨，对体育赛事活动审批、主办方职责、与属地建立多部门联动工作机制提出了修改意见。会后，起草组针对上述意见进行了标准文本相应修改。</w:t>
      </w:r>
    </w:p>
    <w:p w14:paraId="1B85B62A">
      <w:pPr>
        <w:spacing w:line="360" w:lineRule="auto"/>
        <w:ind w:firstLine="480"/>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2024年5月20—2024年6月20日，通过广东省体育局官网、微信公众号（体育标准资讯与服务）等多平台、渠道公开征求意见，共收集到13条意见。</w:t>
      </w:r>
    </w:p>
    <w:p w14:paraId="697BDC68">
      <w:pPr>
        <w:spacing w:line="360" w:lineRule="auto"/>
        <w:ind w:firstLine="480"/>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2024年6月-7月，起草组内部对已征集到的13条意见逐条讨论，经查阅相关标准、内部质询与讨论，其中采纳意见10条，部分采纳意见3条，不采纳意见0条，进一步修改完善标准内容，并形成标准送审稿。</w:t>
      </w:r>
    </w:p>
    <w:p w14:paraId="2C6EA95A">
      <w:pPr>
        <w:spacing w:line="360" w:lineRule="auto"/>
        <w:ind w:firstLine="480"/>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2024年8月19日，广东省体育局在广州组织召开《全民健身赛事活动安全技术规范》预审会，专家组听取了标准起草单位相关负责同志的汇报，建议丰富赛事活动总结信息，增加线上运动会的安全要求以及增加保障人员信息安全的措施等修改意见，会后，起草组针对上述意见进行了标准文本相应修改。</w:t>
      </w:r>
    </w:p>
    <w:p w14:paraId="7FF973BA">
      <w:pPr>
        <w:spacing w:line="360" w:lineRule="auto"/>
        <w:ind w:firstLine="562" w:firstLineChars="20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二、编制原则、主要内容及其确定依据</w:t>
      </w:r>
    </w:p>
    <w:p w14:paraId="0340C805">
      <w:pPr>
        <w:spacing w:line="360" w:lineRule="auto"/>
        <w:ind w:firstLine="560" w:firstLineChars="200"/>
        <w:rPr>
          <w:rFonts w:ascii="宋体" w:hAnsi="宋体" w:eastAsia="宋体" w:cs="宋体"/>
          <w:bCs/>
          <w:color w:val="auto"/>
          <w:sz w:val="28"/>
          <w:szCs w:val="28"/>
        </w:rPr>
      </w:pPr>
      <w:r>
        <w:rPr>
          <w:rFonts w:hint="eastAsia" w:ascii="宋体" w:hAnsi="宋体" w:eastAsia="宋体" w:cs="宋体"/>
          <w:bCs/>
          <w:color w:val="auto"/>
          <w:sz w:val="28"/>
          <w:szCs w:val="28"/>
        </w:rPr>
        <w:t>（一）编制原则</w:t>
      </w:r>
    </w:p>
    <w:p w14:paraId="470C10E8">
      <w:pPr>
        <w:pStyle w:val="15"/>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为进一步加强广东省举办的各级各类体育赛事活动的安全管理工作，广东省体育局相继出台1</w:t>
      </w:r>
      <w:r>
        <w:rPr>
          <w:rFonts w:ascii="宋体" w:hAnsi="宋体" w:eastAsia="宋体" w:cs="宋体"/>
          <w:color w:val="auto"/>
          <w:sz w:val="28"/>
          <w:szCs w:val="28"/>
        </w:rPr>
        <w:t>4</w:t>
      </w:r>
      <w:r>
        <w:rPr>
          <w:rFonts w:hint="eastAsia" w:ascii="宋体" w:hAnsi="宋体" w:eastAsia="宋体" w:cs="宋体"/>
          <w:color w:val="auto"/>
          <w:sz w:val="28"/>
          <w:szCs w:val="28"/>
        </w:rPr>
        <w:t>份政策文件，加强体育赛事活动赛风赛纪和反兴奋剂工作、建立体育赛事活动风险评估办法、制定大型体育赛事活动突发公共事件应急预案等，牢固树立安全发展理念、落实安全生产责任、彻底整治隐患排查，《</w:t>
      </w:r>
      <w:r>
        <w:rPr>
          <w:rFonts w:hint="eastAsia" w:ascii="宋体" w:hAnsi="宋体" w:eastAsia="宋体" w:cs="宋体"/>
          <w:bCs/>
          <w:color w:val="auto"/>
          <w:sz w:val="28"/>
          <w:szCs w:val="28"/>
        </w:rPr>
        <w:t>全民健身赛事活动安全技术规范》的制定工作遵循“统一性、协调性、适用性、一致性、规范性”的原则，按照GB/T 1.1—2020《标准化工作导则 第1部分：标准化文件的结构和起草规则》给出的规则编写。</w:t>
      </w:r>
    </w:p>
    <w:p w14:paraId="3D79EC27">
      <w:pPr>
        <w:numPr>
          <w:ilvl w:val="0"/>
          <w:numId w:val="5"/>
        </w:numPr>
        <w:spacing w:line="360" w:lineRule="auto"/>
        <w:ind w:firstLine="560" w:firstLineChars="200"/>
        <w:rPr>
          <w:rFonts w:ascii="宋体" w:hAnsi="宋体" w:eastAsia="宋体" w:cs="宋体"/>
          <w:bCs/>
          <w:color w:val="auto"/>
          <w:sz w:val="28"/>
          <w:szCs w:val="28"/>
        </w:rPr>
      </w:pPr>
      <w:r>
        <w:rPr>
          <w:rFonts w:hint="eastAsia" w:ascii="宋体" w:hAnsi="宋体" w:eastAsia="宋体" w:cs="宋体"/>
          <w:bCs/>
          <w:color w:val="auto"/>
          <w:sz w:val="28"/>
          <w:szCs w:val="28"/>
        </w:rPr>
        <w:t>编制依据</w:t>
      </w:r>
    </w:p>
    <w:p w14:paraId="780BBC63">
      <w:pPr>
        <w:pStyle w:val="15"/>
        <w:numPr>
          <w:ilvl w:val="0"/>
          <w:numId w:val="6"/>
        </w:numPr>
        <w:spacing w:line="360" w:lineRule="auto"/>
        <w:ind w:firstLineChars="0"/>
        <w:rPr>
          <w:rFonts w:ascii="宋体" w:hAnsi="宋体" w:eastAsia="宋体" w:cs="宋体"/>
          <w:color w:val="auto"/>
          <w:sz w:val="28"/>
          <w:szCs w:val="28"/>
        </w:rPr>
      </w:pPr>
      <w:r>
        <w:rPr>
          <w:rFonts w:hint="eastAsia" w:ascii="宋体" w:hAnsi="宋体" w:eastAsia="宋体" w:cs="宋体"/>
          <w:color w:val="auto"/>
          <w:sz w:val="28"/>
          <w:szCs w:val="28"/>
        </w:rPr>
        <w:t>参考的现行赛事相关国家和行业标准</w:t>
      </w:r>
    </w:p>
    <w:p w14:paraId="34F14607">
      <w:pPr>
        <w:pStyle w:val="15"/>
        <w:numPr>
          <w:ilvl w:val="0"/>
          <w:numId w:val="7"/>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国家标准GB/T 42372—2023《大众滑雪赛事活动规范》，主要适用于群众性高山滑雪赛事活动的开展及管理；</w:t>
      </w:r>
    </w:p>
    <w:p w14:paraId="370D03CC">
      <w:pPr>
        <w:pStyle w:val="15"/>
        <w:numPr>
          <w:ilvl w:val="0"/>
          <w:numId w:val="7"/>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在研国家标准《冰上运动赛事活动要求及评估规范》《雪上运动赛事活动要求及评估规范》，适用于专业冰上、雪上赛事活动的要求和评估程序；</w:t>
      </w:r>
    </w:p>
    <w:p w14:paraId="4EA99DE4">
      <w:pPr>
        <w:pStyle w:val="15"/>
        <w:numPr>
          <w:ilvl w:val="0"/>
          <w:numId w:val="7"/>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体育行业标准《群众性体育赛事活动安全评估工作技术导则》，适用于各级各类群众体育赛事活动的安全评估，规定了群众体育赛事活动安全评估的评估流程、评估策划、评估实施和评估总结，聚焦赛事活动安全风险评估内容。</w:t>
      </w:r>
    </w:p>
    <w:p w14:paraId="10F2915C">
      <w:pPr>
        <w:pStyle w:val="15"/>
        <w:numPr>
          <w:ilvl w:val="0"/>
          <w:numId w:val="7"/>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体育行业标准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群众体育赛事活动运营服务规范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适用于引导各级各类群众体育赛事活动的运营服务，规定了群众体育赛事活动运营服务的基本要求、服务要求、管理要求和服务评价与改进。</w:t>
      </w:r>
    </w:p>
    <w:p w14:paraId="3E9AE57A">
      <w:pPr>
        <w:pStyle w:val="15"/>
        <w:numPr>
          <w:ilvl w:val="0"/>
          <w:numId w:val="7"/>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lang w:val="en-US" w:eastAsia="zh-CN"/>
        </w:rPr>
        <w:t>国家标准《体育赛事活动管理规范》，适用于体育赛事活动的策划、组织和运行的管理，规定了体育赛事活动的成文信息、赛前筹备、赛中运行、赛后管理、实施与改进全过程管理的要求。</w:t>
      </w:r>
    </w:p>
    <w:p w14:paraId="0A55D541">
      <w:pPr>
        <w:pStyle w:val="15"/>
        <w:numPr>
          <w:ilvl w:val="0"/>
          <w:numId w:val="7"/>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本标准主要引用GB/T 33170.4《大型活动安全要求 第4部分：临建设施指南》、GB 50016 《建筑设计防火规范》两项标准，主要对全民健身赛事活动举办中搭建临建设施、增加临时座位等提出应符合相关标准要求。</w:t>
      </w:r>
    </w:p>
    <w:p w14:paraId="5EEFE97B">
      <w:pPr>
        <w:pStyle w:val="15"/>
        <w:numPr>
          <w:ilvl w:val="0"/>
          <w:numId w:val="6"/>
        </w:numPr>
        <w:spacing w:line="360" w:lineRule="auto"/>
        <w:ind w:firstLineChars="0"/>
        <w:rPr>
          <w:rFonts w:ascii="宋体" w:hAnsi="宋体" w:eastAsia="宋体" w:cs="宋体"/>
          <w:color w:val="auto"/>
          <w:sz w:val="28"/>
          <w:szCs w:val="28"/>
        </w:rPr>
      </w:pPr>
      <w:r>
        <w:rPr>
          <w:rFonts w:hint="eastAsia" w:ascii="宋体" w:hAnsi="宋体" w:eastAsia="宋体" w:cs="宋体"/>
          <w:color w:val="auto"/>
          <w:sz w:val="28"/>
          <w:szCs w:val="28"/>
        </w:rPr>
        <w:t>目前与本标准相关的现行法律法规政策文件</w:t>
      </w:r>
    </w:p>
    <w:p w14:paraId="4B66ACC4">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《全民健身计划（2021—2025年）》</w:t>
      </w:r>
    </w:p>
    <w:p w14:paraId="405DEF2B">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《关于构建更高水平的全民健身公共服务体系的意见》</w:t>
      </w:r>
    </w:p>
    <w:p w14:paraId="3E80D8EC">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《体育总局关于建立健全体育赛事活动“熔断”机制的通知》</w:t>
      </w:r>
    </w:p>
    <w:p w14:paraId="0476C6B9">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《关于进一步加强体育赛事活动安全监管服务的意见》</w:t>
      </w:r>
    </w:p>
    <w:p w14:paraId="05EEA909">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《体育赛事活动管理办法》</w:t>
      </w:r>
    </w:p>
    <w:p w14:paraId="559C189F">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《广东省全民健身实施计划（2021—2025年）》</w:t>
      </w:r>
    </w:p>
    <w:p w14:paraId="4FF308A4">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《广东省“十四五”体育发展规划》</w:t>
      </w:r>
    </w:p>
    <w:p w14:paraId="57F893C7">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《广东省“十四五”时期全民健身场地设施补短板五年行动方案》</w:t>
      </w:r>
    </w:p>
    <w:p w14:paraId="1FB84D1C">
      <w:pPr>
        <w:pStyle w:val="15"/>
        <w:numPr>
          <w:ilvl w:val="0"/>
          <w:numId w:val="8"/>
        </w:numPr>
        <w:spacing w:line="360" w:lineRule="auto"/>
        <w:ind w:left="0" w:firstLine="640" w:firstLineChars="0"/>
        <w:rPr>
          <w:rFonts w:hint="eastAsia" w:ascii="宋体" w:hAnsi="宋体" w:eastAsia="宋体" w:cs="宋体"/>
          <w:color w:val="auto"/>
          <w:sz w:val="28"/>
          <w:szCs w:val="28"/>
        </w:rPr>
      </w:pPr>
      <w:r>
        <w:rPr>
          <w:rFonts w:hint="eastAsia" w:ascii="宋体" w:hAnsi="宋体" w:eastAsia="宋体" w:cs="宋体"/>
          <w:color w:val="auto"/>
          <w:sz w:val="28"/>
          <w:szCs w:val="28"/>
        </w:rPr>
        <w:t>《广东省体育赛事活动管理细则》</w:t>
      </w:r>
    </w:p>
    <w:p w14:paraId="0EC154DA">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《广东省体育领域安全生产重大事故安全隐患清单》</w:t>
      </w:r>
    </w:p>
    <w:p w14:paraId="1CA751BF">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《广东省青少年运动员赛风赛纪和反兴奋剂专项教育工作规范》</w:t>
      </w:r>
    </w:p>
    <w:p w14:paraId="26C26C37">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《关于加强青少年体育赛事活动赛风赛纪和反兴奋剂工作的通知》</w:t>
      </w:r>
    </w:p>
    <w:p w14:paraId="0504F06C">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《广东省体育赛事活动风险评估办法》</w:t>
      </w:r>
    </w:p>
    <w:p w14:paraId="4020C05C">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《广东省体育局大型体育赛事活动突发公共事件应急预案的通知》</w:t>
      </w:r>
    </w:p>
    <w:p w14:paraId="63B3F15A">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《广东省体育工作联席会议关于建立体育赛事活动联动督查机制的通知》</w:t>
      </w:r>
    </w:p>
    <w:p w14:paraId="34467504">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《关于印发省级体育赛事活动服务指导目录（模板）的通知》</w:t>
      </w:r>
    </w:p>
    <w:p w14:paraId="5E0D16A6">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《关于建立广东省体育赛事活动组织服务专家库的通知》</w:t>
      </w:r>
    </w:p>
    <w:p w14:paraId="420469A1">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《关于加强省级体育社会组织党的建设工作的通知》</w:t>
      </w:r>
    </w:p>
    <w:p w14:paraId="75C41C60">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《关于进一步加强行业自律 促进体育赛事活动规范开展的通知》</w:t>
      </w:r>
    </w:p>
    <w:p w14:paraId="4CF832CD">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《广东省体育局兴奋剂违规责任追究办法》</w:t>
      </w:r>
    </w:p>
    <w:p w14:paraId="63CD3912">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《关于进一步加强职业足球联赛广东赛区组织管理工作的通知》</w:t>
      </w:r>
    </w:p>
    <w:p w14:paraId="27DDEC05">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《关于严肃查处假球、赌球、黑哨、操纵比赛等违规违纪违法行为的通知》</w:t>
      </w:r>
    </w:p>
    <w:p w14:paraId="1B153904">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《关于加快推动广东足球高质量发展的意见》</w:t>
      </w:r>
    </w:p>
    <w:p w14:paraId="15019A32">
      <w:pPr>
        <w:pStyle w:val="15"/>
        <w:numPr>
          <w:ilvl w:val="0"/>
          <w:numId w:val="8"/>
        </w:numPr>
        <w:spacing w:line="360" w:lineRule="auto"/>
        <w:ind w:left="0" w:firstLine="640" w:firstLineChars="0"/>
        <w:rPr>
          <w:rFonts w:ascii="宋体" w:hAnsi="宋体" w:eastAsia="宋体" w:cs="宋体"/>
          <w:color w:val="auto"/>
          <w:sz w:val="28"/>
          <w:szCs w:val="28"/>
        </w:rPr>
      </w:pPr>
      <w:r>
        <w:rPr>
          <w:rFonts w:hint="eastAsia" w:ascii="宋体" w:hAnsi="宋体" w:eastAsia="宋体" w:cs="宋体"/>
          <w:color w:val="auto"/>
          <w:sz w:val="28"/>
          <w:szCs w:val="28"/>
        </w:rPr>
        <w:t>《关于进一步加强广东省体育赛事活动安全监管服务工作的通知》</w:t>
      </w:r>
    </w:p>
    <w:p w14:paraId="1586AC3A">
      <w:pPr>
        <w:pStyle w:val="15"/>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上述文件都对体育赛事活动提出了相关要求。本标准紧密结合了各级政策要求，通过细化体育赛事活动的事前、事中、事后各环节安全技术要素，配套详细的附录文件</w:t>
      </w:r>
      <w:r>
        <w:rPr>
          <w:rFonts w:hint="eastAsia" w:ascii="宋体" w:hAnsi="宋体" w:eastAsia="宋体" w:cs="宋体"/>
          <w:color w:val="auto"/>
          <w:sz w:val="28"/>
          <w:szCs w:val="28"/>
          <w:lang w:val="en-US" w:eastAsia="zh-CN"/>
        </w:rPr>
        <w:t>示例</w:t>
      </w:r>
      <w:r>
        <w:rPr>
          <w:rFonts w:hint="eastAsia" w:ascii="宋体" w:hAnsi="宋体" w:eastAsia="宋体" w:cs="宋体"/>
          <w:color w:val="auto"/>
          <w:sz w:val="28"/>
          <w:szCs w:val="28"/>
        </w:rPr>
        <w:t>，为标准使用者落实政策提供了实现路径和技术支撑，对管理，规范赛事活动举办、完善安全监管手段具有重要意义，有助于加强广东省举办的各级各类体育赛事活动的安全管理工作，实现体育产业高质量发展。</w:t>
      </w:r>
    </w:p>
    <w:p w14:paraId="1924D645">
      <w:pPr>
        <w:spacing w:line="360" w:lineRule="auto"/>
        <w:ind w:firstLine="560" w:firstLineChars="200"/>
        <w:rPr>
          <w:rFonts w:ascii="宋体" w:hAnsi="宋体" w:eastAsia="宋体" w:cs="宋体"/>
          <w:bCs/>
          <w:color w:val="auto"/>
          <w:sz w:val="28"/>
          <w:szCs w:val="28"/>
        </w:rPr>
      </w:pPr>
      <w:r>
        <w:rPr>
          <w:rFonts w:hint="eastAsia" w:ascii="宋体" w:hAnsi="宋体" w:eastAsia="宋体" w:cs="宋体"/>
          <w:bCs/>
          <w:color w:val="auto"/>
          <w:sz w:val="28"/>
          <w:szCs w:val="28"/>
        </w:rPr>
        <w:t>（三）主要内容</w:t>
      </w:r>
    </w:p>
    <w:p w14:paraId="47338FD9">
      <w:pPr>
        <w:pStyle w:val="15"/>
        <w:numPr>
          <w:ilvl w:val="0"/>
          <w:numId w:val="9"/>
        </w:numPr>
        <w:spacing w:line="360" w:lineRule="auto"/>
        <w:ind w:firstLineChars="0"/>
        <w:rPr>
          <w:rFonts w:ascii="宋体" w:hAnsi="宋体" w:eastAsia="宋体" w:cs="宋体"/>
          <w:bCs/>
          <w:color w:val="auto"/>
          <w:sz w:val="28"/>
          <w:szCs w:val="28"/>
        </w:rPr>
      </w:pPr>
      <w:r>
        <w:rPr>
          <w:rFonts w:hint="eastAsia" w:ascii="宋体" w:hAnsi="宋体" w:eastAsia="宋体" w:cs="宋体"/>
          <w:bCs/>
          <w:color w:val="auto"/>
          <w:sz w:val="28"/>
          <w:szCs w:val="28"/>
        </w:rPr>
        <w:t>标准范围</w:t>
      </w:r>
    </w:p>
    <w:p w14:paraId="54F8D723">
      <w:pPr>
        <w:pStyle w:val="15"/>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本文件规定了全民健身赛事活动的赛事筹备、安全保障、应急处置、赛事活动总结、赛事活动监管的相关安全要求。</w:t>
      </w:r>
    </w:p>
    <w:p w14:paraId="1E36A11C">
      <w:pPr>
        <w:pStyle w:val="15"/>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本文件适用于广东省行政区域内开展的全民健身赛事活动，其他赛事可参照执行。</w:t>
      </w:r>
    </w:p>
    <w:p w14:paraId="2F7E7785">
      <w:pPr>
        <w:pStyle w:val="15"/>
        <w:numPr>
          <w:ilvl w:val="0"/>
          <w:numId w:val="9"/>
        </w:numPr>
        <w:spacing w:line="360" w:lineRule="auto"/>
        <w:ind w:firstLineChars="0"/>
        <w:rPr>
          <w:rFonts w:hint="eastAsia" w:ascii="宋体" w:hAnsi="宋体" w:eastAsia="宋体" w:cs="宋体"/>
          <w:bCs/>
          <w:color w:val="auto"/>
          <w:sz w:val="28"/>
          <w:szCs w:val="28"/>
        </w:rPr>
      </w:pPr>
      <w:r>
        <w:rPr>
          <w:rFonts w:hint="eastAsia" w:ascii="宋体" w:hAnsi="宋体" w:eastAsia="宋体" w:cs="宋体"/>
          <w:bCs/>
          <w:color w:val="auto"/>
          <w:sz w:val="28"/>
          <w:szCs w:val="28"/>
        </w:rPr>
        <w:t>标准内容</w:t>
      </w:r>
    </w:p>
    <w:p w14:paraId="78C937AF">
      <w:pPr>
        <w:pStyle w:val="15"/>
        <w:numPr>
          <w:ilvl w:val="0"/>
          <w:numId w:val="10"/>
        </w:numPr>
        <w:spacing w:line="360" w:lineRule="auto"/>
        <w:ind w:left="0" w:firstLine="641" w:firstLineChars="0"/>
        <w:rPr>
          <w:rFonts w:ascii="宋体" w:hAnsi="宋体" w:eastAsia="宋体" w:cs="宋体"/>
          <w:color w:val="auto"/>
          <w:sz w:val="28"/>
          <w:szCs w:val="28"/>
        </w:rPr>
      </w:pPr>
      <w:r>
        <w:rPr>
          <w:rFonts w:hint="eastAsia" w:ascii="宋体" w:hAnsi="宋体" w:eastAsia="宋体" w:cs="宋体"/>
          <w:color w:val="auto"/>
          <w:sz w:val="28"/>
          <w:szCs w:val="28"/>
        </w:rPr>
        <w:t>赛事筹备</w:t>
      </w:r>
    </w:p>
    <w:p w14:paraId="52815B14">
      <w:pPr>
        <w:pStyle w:val="15"/>
        <w:numPr>
          <w:ilvl w:val="0"/>
          <w:numId w:val="11"/>
        </w:numPr>
        <w:spacing w:line="360" w:lineRule="auto"/>
        <w:ind w:firstLineChars="0"/>
        <w:rPr>
          <w:rFonts w:ascii="宋体" w:hAnsi="宋体" w:eastAsia="宋体" w:cs="宋体"/>
          <w:color w:val="auto"/>
          <w:sz w:val="28"/>
          <w:szCs w:val="28"/>
        </w:rPr>
      </w:pPr>
      <w:r>
        <w:rPr>
          <w:rFonts w:hint="eastAsia" w:ascii="宋体" w:hAnsi="宋体" w:eastAsia="宋体" w:cs="宋体"/>
          <w:color w:val="auto"/>
          <w:sz w:val="28"/>
          <w:szCs w:val="28"/>
        </w:rPr>
        <w:t>赛事审批</w:t>
      </w:r>
    </w:p>
    <w:p w14:paraId="3D7E62D4">
      <w:pPr>
        <w:pStyle w:val="15"/>
        <w:spacing w:line="360" w:lineRule="auto"/>
        <w:ind w:firstLine="560"/>
        <w:rPr>
          <w:rFonts w:hint="eastAsia" w:ascii="宋体" w:hAnsi="宋体" w:eastAsia="宋体" w:cs="宋体"/>
          <w:color w:val="auto"/>
          <w:sz w:val="28"/>
          <w:szCs w:val="28"/>
        </w:rPr>
      </w:pPr>
      <w:r>
        <w:rPr>
          <w:rFonts w:hint="eastAsia" w:ascii="宋体" w:hAnsi="宋体" w:eastAsia="宋体" w:cs="宋体"/>
          <w:color w:val="auto"/>
          <w:sz w:val="28"/>
          <w:szCs w:val="28"/>
        </w:rPr>
        <w:t>参考《体育赛事活动管理办法》第七条至第十二条内容，明确了不同体育赛事活动类型审批要求。</w:t>
      </w:r>
    </w:p>
    <w:p w14:paraId="4B2F1ACA">
      <w:pPr>
        <w:pStyle w:val="15"/>
        <w:numPr>
          <w:ilvl w:val="0"/>
          <w:numId w:val="11"/>
        </w:numPr>
        <w:spacing w:line="360" w:lineRule="auto"/>
        <w:ind w:firstLineChars="0"/>
        <w:rPr>
          <w:rFonts w:ascii="宋体" w:hAnsi="宋体" w:eastAsia="宋体" w:cs="宋体"/>
          <w:color w:val="auto"/>
          <w:sz w:val="28"/>
          <w:szCs w:val="28"/>
        </w:rPr>
      </w:pPr>
      <w:r>
        <w:rPr>
          <w:rFonts w:hint="eastAsia" w:ascii="宋体" w:hAnsi="宋体" w:eastAsia="宋体" w:cs="宋体"/>
          <w:color w:val="auto"/>
          <w:sz w:val="28"/>
          <w:szCs w:val="28"/>
        </w:rPr>
        <w:t>申报和备案</w:t>
      </w:r>
    </w:p>
    <w:p w14:paraId="71A92464">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eastAsia="zh-CN"/>
        </w:rPr>
        <w:t>赛事活动运营方</w:t>
      </w:r>
      <w:r>
        <w:rPr>
          <w:rFonts w:hint="eastAsia" w:ascii="宋体" w:hAnsi="宋体" w:eastAsia="宋体" w:cs="宋体"/>
          <w:color w:val="auto"/>
          <w:sz w:val="28"/>
          <w:szCs w:val="28"/>
        </w:rPr>
        <w:t>应根据赛事项目类别，按照《广东省体育赛事活动申办和审批事项管理办法》的相关规定要求，向体育行政部门申请或备案。参照《体育赛事活动管理办法》《关于进一步加强广东省体育赛事活动安全监管服务工作的通知》，加强赛前、赛中、赛后全链条监管，全面堵塞安全漏洞，</w:t>
      </w:r>
      <w:r>
        <w:rPr>
          <w:rFonts w:hint="eastAsia" w:ascii="宋体" w:hAnsi="宋体" w:eastAsia="宋体" w:cs="宋体"/>
          <w:color w:val="auto"/>
          <w:sz w:val="28"/>
          <w:szCs w:val="28"/>
          <w:lang w:eastAsia="zh-CN"/>
        </w:rPr>
        <w:t>赛事活动运营方</w:t>
      </w:r>
      <w:r>
        <w:rPr>
          <w:rFonts w:hint="eastAsia" w:ascii="宋体" w:hAnsi="宋体" w:eastAsia="宋体" w:cs="宋体"/>
          <w:color w:val="auto"/>
          <w:sz w:val="28"/>
          <w:szCs w:val="28"/>
        </w:rPr>
        <w:t>在赛前提交申请书、</w:t>
      </w:r>
      <w:r>
        <w:rPr>
          <w:rFonts w:hint="eastAsia" w:ascii="宋体" w:hAnsi="宋体" w:eastAsia="宋体" w:cs="宋体"/>
          <w:color w:val="auto"/>
          <w:sz w:val="28"/>
          <w:szCs w:val="28"/>
          <w:lang w:eastAsia="zh-CN"/>
        </w:rPr>
        <w:t>赛事活动运营方</w:t>
      </w:r>
      <w:r>
        <w:rPr>
          <w:rFonts w:hint="eastAsia" w:ascii="宋体" w:hAnsi="宋体" w:eastAsia="宋体" w:cs="宋体"/>
          <w:color w:val="auto"/>
          <w:sz w:val="28"/>
          <w:szCs w:val="28"/>
        </w:rPr>
        <w:t>的权利义务和责任分工的书面协议、赛事竞赛规程、赛事活动组织方案、赛事活动安保工作方案、赛事活动应急处置预案、赛事活动应急演练方案、赛事活动风险评估报告、医疗保障及救护方案等工作方案，加强赛前研判；若举办高危险性体育赛事活动除需提交上述文件材料外，还需提交高危险性体育赛事活动申请书、专业技术人员的资格或资质证明材料、场地、器材和设施符合相关标准和要求的说明性材料</w:t>
      </w:r>
      <w:r>
        <w:rPr>
          <w:rFonts w:hint="eastAsia" w:ascii="宋体" w:hAnsi="宋体" w:eastAsia="宋体" w:cs="宋体"/>
          <w:color w:val="auto"/>
          <w:sz w:val="28"/>
          <w:szCs w:val="28"/>
          <w:lang w:eastAsia="zh-CN"/>
        </w:rPr>
        <w:t>；举办健身气功活动除应具备</w:t>
      </w:r>
      <w:r>
        <w:rPr>
          <w:rFonts w:hint="eastAsia" w:ascii="宋体" w:hAnsi="宋体" w:eastAsia="宋体" w:cs="宋体"/>
          <w:color w:val="auto"/>
          <w:sz w:val="28"/>
          <w:szCs w:val="28"/>
          <w:lang w:val="en-US" w:eastAsia="zh-CN"/>
        </w:rPr>
        <w:t>上述</w:t>
      </w:r>
      <w:r>
        <w:rPr>
          <w:rFonts w:hint="eastAsia" w:ascii="宋体" w:hAnsi="宋体" w:eastAsia="宋体" w:cs="宋体"/>
          <w:color w:val="auto"/>
          <w:sz w:val="28"/>
          <w:szCs w:val="28"/>
          <w:lang w:eastAsia="zh-CN"/>
        </w:rPr>
        <w:t>文件外，还应</w:t>
      </w:r>
      <w:r>
        <w:rPr>
          <w:rFonts w:hint="eastAsia" w:ascii="宋体" w:hAnsi="宋体" w:eastAsia="宋体" w:cs="宋体"/>
          <w:color w:val="auto"/>
          <w:sz w:val="28"/>
          <w:szCs w:val="28"/>
          <w:lang w:val="en-US" w:eastAsia="zh-CN"/>
        </w:rPr>
        <w:t>提供</w:t>
      </w:r>
      <w:r>
        <w:rPr>
          <w:rFonts w:hint="eastAsia" w:ascii="宋体" w:hAnsi="宋体" w:eastAsia="宋体" w:cs="宋体"/>
          <w:color w:val="auto"/>
          <w:sz w:val="28"/>
          <w:szCs w:val="28"/>
          <w:shd w:val="clear" w:color="auto" w:fill="auto"/>
          <w:lang w:val="en-US" w:eastAsia="zh-CN"/>
        </w:rPr>
        <w:t>组织者</w:t>
      </w:r>
      <w:r>
        <w:rPr>
          <w:rFonts w:hint="eastAsia" w:ascii="宋体" w:hAnsi="宋体" w:eastAsia="宋体" w:cs="宋体"/>
          <w:color w:val="auto"/>
          <w:sz w:val="28"/>
          <w:szCs w:val="28"/>
          <w:shd w:val="clear" w:color="auto" w:fill="auto"/>
        </w:rPr>
        <w:t>合法的身份证明</w:t>
      </w:r>
      <w:r>
        <w:rPr>
          <w:rFonts w:hint="eastAsia" w:ascii="宋体" w:hAnsi="宋体" w:eastAsia="宋体" w:cs="宋体"/>
          <w:color w:val="auto"/>
          <w:sz w:val="28"/>
          <w:szCs w:val="28"/>
          <w:shd w:val="clear" w:color="auto" w:fill="auto"/>
          <w:lang w:eastAsia="zh-CN"/>
        </w:rPr>
        <w:t>、</w:t>
      </w:r>
      <w:r>
        <w:rPr>
          <w:rFonts w:hint="eastAsia" w:ascii="宋体" w:hAnsi="宋体" w:eastAsia="宋体" w:cs="宋体"/>
          <w:color w:val="auto"/>
          <w:sz w:val="28"/>
          <w:szCs w:val="28"/>
          <w:shd w:val="clear" w:color="auto" w:fill="auto"/>
        </w:rPr>
        <w:t>活动场地管理者同意使用的证明</w:t>
      </w:r>
      <w:r>
        <w:rPr>
          <w:rFonts w:hint="eastAsia" w:ascii="宋体" w:hAnsi="宋体" w:eastAsia="宋体" w:cs="宋体"/>
          <w:color w:val="auto"/>
          <w:sz w:val="28"/>
          <w:szCs w:val="28"/>
          <w:shd w:val="clear" w:color="auto" w:fill="auto"/>
          <w:lang w:eastAsia="zh-CN"/>
        </w:rPr>
        <w:t>。</w:t>
      </w:r>
      <w:r>
        <w:rPr>
          <w:rFonts w:hint="eastAsia" w:ascii="宋体" w:hAnsi="宋体" w:eastAsia="宋体" w:cs="宋体"/>
          <w:color w:val="auto"/>
          <w:sz w:val="28"/>
          <w:szCs w:val="28"/>
        </w:rPr>
        <w:t>根据《大型群众性活动安全管理条例》第十三条，若赛事活动参赛人数在1000人以上5000人以下，应向活动所在地县级人民政府公安机关提出安全许可申请；参赛人数在5000人以上的，应向活动所在地设区的市级人民政府公安机关提出安全许可申请；承办方应在活动举办日的20个工作日前提出安全许可申请，并提交相关材料。因特殊原因需要变更申请材料或取消高危险性体育赛事活动的，承办方应当在赛事活动开始前向作出行政许可决定的地方体育行政部门申请办理变更或取消手续。</w:t>
      </w:r>
    </w:p>
    <w:p w14:paraId="285FE011">
      <w:pPr>
        <w:pStyle w:val="15"/>
        <w:numPr>
          <w:ilvl w:val="0"/>
          <w:numId w:val="11"/>
        </w:numPr>
        <w:spacing w:line="360" w:lineRule="auto"/>
        <w:ind w:firstLineChars="0"/>
        <w:rPr>
          <w:rFonts w:ascii="宋体" w:hAnsi="宋体" w:eastAsia="宋体" w:cs="宋体"/>
          <w:color w:val="auto"/>
          <w:sz w:val="28"/>
          <w:szCs w:val="28"/>
        </w:rPr>
      </w:pPr>
      <w:r>
        <w:rPr>
          <w:rFonts w:hint="eastAsia" w:ascii="宋体" w:hAnsi="宋体" w:eastAsia="宋体" w:cs="宋体"/>
          <w:color w:val="auto"/>
          <w:sz w:val="28"/>
          <w:szCs w:val="28"/>
        </w:rPr>
        <w:t>赛事活动命名</w:t>
      </w:r>
    </w:p>
    <w:p w14:paraId="51680F70">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赛事活动命名应符合《广东省体育赛事活动申办和审批事项管理办法》第四章命名要求。</w:t>
      </w:r>
    </w:p>
    <w:p w14:paraId="203AD131">
      <w:pPr>
        <w:pStyle w:val="15"/>
        <w:numPr>
          <w:ilvl w:val="0"/>
          <w:numId w:val="11"/>
        </w:numPr>
        <w:spacing w:line="360" w:lineRule="auto"/>
        <w:ind w:firstLineChars="0"/>
        <w:rPr>
          <w:rFonts w:ascii="宋体" w:hAnsi="宋体" w:eastAsia="宋体" w:cs="宋体"/>
          <w:color w:val="auto"/>
          <w:sz w:val="28"/>
          <w:szCs w:val="28"/>
        </w:rPr>
      </w:pPr>
      <w:r>
        <w:rPr>
          <w:rFonts w:hint="eastAsia" w:ascii="宋体" w:hAnsi="宋体" w:eastAsia="宋体" w:cs="宋体"/>
          <w:color w:val="auto"/>
          <w:sz w:val="28"/>
          <w:szCs w:val="28"/>
        </w:rPr>
        <w:t>职责分工</w:t>
      </w:r>
    </w:p>
    <w:p w14:paraId="5D0DD40F">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主办方、承办方、协办方等</w:t>
      </w:r>
      <w:r>
        <w:rPr>
          <w:rFonts w:hint="eastAsia" w:ascii="宋体" w:hAnsi="宋体" w:eastAsia="宋体" w:cs="宋体"/>
          <w:color w:val="auto"/>
          <w:sz w:val="28"/>
          <w:szCs w:val="28"/>
          <w:lang w:eastAsia="zh-CN"/>
        </w:rPr>
        <w:t>赛事活动运营方</w:t>
      </w:r>
      <w:r>
        <w:rPr>
          <w:rFonts w:hint="eastAsia" w:ascii="宋体" w:hAnsi="宋体" w:eastAsia="宋体" w:cs="宋体"/>
          <w:color w:val="auto"/>
          <w:sz w:val="28"/>
          <w:szCs w:val="28"/>
        </w:rPr>
        <w:t>应参照《体育赛事活动管理办法》第十条、第三十七条、《广东省体育赛事活动管理细则》，《关于进一步加强广东省体育赛事活动安全监管服务工作的通知》依照各自职责共同做好赛事活动的监管和服务保障工作。</w:t>
      </w:r>
    </w:p>
    <w:p w14:paraId="621392DE">
      <w:pPr>
        <w:pStyle w:val="15"/>
        <w:numPr>
          <w:ilvl w:val="4"/>
          <w:numId w:val="12"/>
        </w:numPr>
        <w:spacing w:line="360" w:lineRule="auto"/>
        <w:ind w:left="998" w:hanging="357" w:firstLineChars="0"/>
        <w:rPr>
          <w:rFonts w:ascii="宋体" w:hAnsi="宋体" w:eastAsia="宋体" w:cs="宋体"/>
          <w:color w:val="auto"/>
          <w:sz w:val="28"/>
          <w:szCs w:val="28"/>
        </w:rPr>
      </w:pPr>
      <w:r>
        <w:rPr>
          <w:rFonts w:hint="eastAsia" w:ascii="宋体" w:hAnsi="宋体" w:eastAsia="宋体" w:cs="宋体"/>
          <w:color w:val="auto"/>
          <w:sz w:val="28"/>
          <w:szCs w:val="28"/>
        </w:rPr>
        <w:t>主办方</w:t>
      </w:r>
    </w:p>
    <w:p w14:paraId="7A606279">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主办方作为赛事所有者享有所有与赛事相关收益与相应权利，应负责对赛事活动的全面组织，提出赛事活动组织方案，发布赛事文件，向参赛各方告知“熔断”机制启动条件、程序、处置措施、法律后果等内容，任命技术代表、纠纷解决委员会成员、总裁判长及委派主要裁判；与承办方共同建立组委会等组织机制。</w:t>
      </w:r>
    </w:p>
    <w:p w14:paraId="71D0B9F2">
      <w:pPr>
        <w:pStyle w:val="15"/>
        <w:numPr>
          <w:ilvl w:val="4"/>
          <w:numId w:val="12"/>
        </w:numPr>
        <w:spacing w:line="360" w:lineRule="auto"/>
        <w:ind w:left="998" w:hanging="357" w:firstLineChars="0"/>
        <w:rPr>
          <w:rFonts w:ascii="宋体" w:hAnsi="宋体" w:eastAsia="宋体" w:cs="宋体"/>
          <w:color w:val="auto"/>
          <w:sz w:val="28"/>
          <w:szCs w:val="28"/>
        </w:rPr>
      </w:pPr>
      <w:r>
        <w:rPr>
          <w:rFonts w:hint="eastAsia" w:ascii="宋体" w:hAnsi="宋体" w:eastAsia="宋体" w:cs="宋体"/>
          <w:color w:val="auto"/>
          <w:sz w:val="28"/>
          <w:szCs w:val="28"/>
        </w:rPr>
        <w:t>承办方</w:t>
      </w:r>
    </w:p>
    <w:p w14:paraId="0C6AD6AB">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主办方直接承担赛事活动筹备和组织工作的，应履行承办方责任。承办方应在赛前制定工作方案，做好赛事活动各项保障工作，对赛事活动的安全隐患进行排查，通过自我评估或委托专业机构等方式，开展安全风险评估工作。</w:t>
      </w:r>
    </w:p>
    <w:p w14:paraId="342AC0C1">
      <w:pPr>
        <w:pStyle w:val="15"/>
        <w:numPr>
          <w:ilvl w:val="4"/>
          <w:numId w:val="12"/>
        </w:numPr>
        <w:spacing w:line="360" w:lineRule="auto"/>
        <w:ind w:left="998" w:hanging="357" w:firstLineChars="0"/>
        <w:rPr>
          <w:rFonts w:ascii="宋体" w:hAnsi="宋体" w:eastAsia="宋体" w:cs="宋体"/>
          <w:color w:val="auto"/>
          <w:sz w:val="28"/>
          <w:szCs w:val="28"/>
        </w:rPr>
      </w:pPr>
      <w:r>
        <w:rPr>
          <w:rFonts w:hint="eastAsia" w:ascii="宋体" w:hAnsi="宋体" w:eastAsia="宋体" w:cs="宋体"/>
          <w:color w:val="auto"/>
          <w:sz w:val="28"/>
          <w:szCs w:val="28"/>
        </w:rPr>
        <w:t>协办方</w:t>
      </w:r>
    </w:p>
    <w:p w14:paraId="66744ACD">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协办方应提供符合质量和安全的产品、设施或志愿者等服务。</w:t>
      </w:r>
    </w:p>
    <w:p w14:paraId="49556BD6">
      <w:pPr>
        <w:pStyle w:val="15"/>
        <w:numPr>
          <w:ilvl w:val="4"/>
          <w:numId w:val="12"/>
        </w:numPr>
        <w:spacing w:line="360" w:lineRule="auto"/>
        <w:ind w:left="998" w:hanging="357" w:firstLineChars="0"/>
        <w:rPr>
          <w:rFonts w:ascii="宋体" w:hAnsi="宋体" w:eastAsia="宋体" w:cs="宋体"/>
          <w:color w:val="auto"/>
          <w:sz w:val="28"/>
          <w:szCs w:val="28"/>
        </w:rPr>
      </w:pPr>
      <w:r>
        <w:rPr>
          <w:rFonts w:hint="eastAsia" w:ascii="宋体" w:hAnsi="宋体" w:eastAsia="宋体" w:cs="宋体"/>
          <w:color w:val="auto"/>
          <w:sz w:val="28"/>
          <w:szCs w:val="28"/>
        </w:rPr>
        <w:t>组织机构</w:t>
      </w:r>
    </w:p>
    <w:p w14:paraId="4DE9ABAA">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根据TY/T 1105—2023《群众体育赛事活动安全评估技术导则》第5.2.2.2.5条“安全工作组宜与赛事活动属地体育、公安、消防、应急、交通运输、卫生健康、通信管理、自然资源、文化旅游、市场监管、气象、环境、银保监等部门建立联动机制，明确对接人”，组织机构应根据赛事活动级别、规模，与赛事活动属地建立多部门联动机制，保障赛事安全。主办方和承办方应建立安全管理组织机构和部门，明确负责人、联系方式及各部门工作内容，应包括但不限于办公室、赛风赛纪及反兴奋剂部门、竞赛和场地综合保障部门、安全保卫部门、医务与食品安全保障部门、宣传部门、市场开发部门、后勤保障部门等。</w:t>
      </w:r>
    </w:p>
    <w:p w14:paraId="7EBB4852">
      <w:pPr>
        <w:pStyle w:val="15"/>
        <w:numPr>
          <w:ilvl w:val="4"/>
          <w:numId w:val="12"/>
        </w:numPr>
        <w:spacing w:line="360" w:lineRule="auto"/>
        <w:ind w:left="998" w:hanging="357" w:firstLineChars="0"/>
        <w:rPr>
          <w:rFonts w:ascii="宋体" w:hAnsi="宋体" w:eastAsia="宋体" w:cs="宋体"/>
          <w:color w:val="auto"/>
          <w:sz w:val="28"/>
          <w:szCs w:val="28"/>
        </w:rPr>
      </w:pPr>
      <w:r>
        <w:rPr>
          <w:rFonts w:hint="eastAsia" w:ascii="宋体" w:hAnsi="宋体" w:eastAsia="宋体" w:cs="宋体"/>
          <w:color w:val="auto"/>
          <w:sz w:val="28"/>
          <w:szCs w:val="28"/>
        </w:rPr>
        <w:t>党组织</w:t>
      </w:r>
    </w:p>
    <w:p w14:paraId="3724E00B">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体育赛事活动管理办法》第四章第二十一条要求，“具备条件的大型或重要全民健身赛事活动的组委会应当建立党组织，开展党建活动，发挥党建工作对体育赛事活动的政治引领作用。”同时对具备条件的大型或重要赛事活动的组委会应当建立党组织，自觉践行社会主义核心价值观，弘扬中华体育精神，积极营造健康向上、和谐文明的赛场文化氛围和舆论宣传氛围。</w:t>
      </w:r>
    </w:p>
    <w:p w14:paraId="6CFC009E">
      <w:pPr>
        <w:pStyle w:val="15"/>
        <w:numPr>
          <w:ilvl w:val="0"/>
          <w:numId w:val="10"/>
        </w:numPr>
        <w:spacing w:line="360" w:lineRule="auto"/>
        <w:ind w:left="0" w:firstLine="641" w:firstLineChars="0"/>
        <w:rPr>
          <w:rFonts w:ascii="宋体" w:hAnsi="宋体" w:eastAsia="宋体" w:cs="宋体"/>
          <w:color w:val="auto"/>
          <w:sz w:val="28"/>
          <w:szCs w:val="28"/>
        </w:rPr>
      </w:pPr>
      <w:r>
        <w:rPr>
          <w:rFonts w:hint="eastAsia" w:ascii="宋体" w:hAnsi="宋体" w:eastAsia="宋体" w:cs="宋体"/>
          <w:color w:val="auto"/>
          <w:sz w:val="28"/>
          <w:szCs w:val="28"/>
        </w:rPr>
        <w:t>安全保障</w:t>
      </w:r>
    </w:p>
    <w:p w14:paraId="60D0A6BA">
      <w:pPr>
        <w:pStyle w:val="15"/>
        <w:numPr>
          <w:ilvl w:val="0"/>
          <w:numId w:val="13"/>
        </w:numPr>
        <w:spacing w:line="360" w:lineRule="auto"/>
        <w:ind w:firstLineChars="0"/>
        <w:rPr>
          <w:rFonts w:ascii="宋体" w:hAnsi="宋体" w:eastAsia="宋体" w:cs="宋体"/>
          <w:color w:val="auto"/>
          <w:sz w:val="28"/>
          <w:szCs w:val="28"/>
        </w:rPr>
      </w:pPr>
      <w:r>
        <w:rPr>
          <w:rFonts w:hint="eastAsia" w:ascii="宋体" w:hAnsi="宋体" w:eastAsia="宋体" w:cs="宋体"/>
          <w:color w:val="auto"/>
          <w:sz w:val="28"/>
          <w:szCs w:val="28"/>
        </w:rPr>
        <w:t>人员</w:t>
      </w:r>
    </w:p>
    <w:p w14:paraId="2C1206B9">
      <w:pPr>
        <w:pStyle w:val="15"/>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本节给出了体育赛事活动必备的人员类别，包括：竞赛管理人员、裁判员、仲裁、医护人员、安保人员、志愿者等工作人员</w:t>
      </w:r>
      <w:r>
        <w:rPr>
          <w:rFonts w:hint="eastAsia" w:ascii="宋体" w:hAnsi="宋体" w:eastAsia="宋体" w:cs="宋体"/>
          <w:color w:val="auto"/>
          <w:sz w:val="28"/>
          <w:szCs w:val="28"/>
          <w:lang w:eastAsia="zh-CN"/>
        </w:rPr>
        <w:t>，并配备明显的、有辨识度的标志，如：着装、证件、臂章等</w:t>
      </w:r>
      <w:r>
        <w:rPr>
          <w:rFonts w:hint="eastAsia" w:ascii="宋体" w:hAnsi="宋体" w:eastAsia="宋体" w:cs="宋体"/>
          <w:color w:val="auto"/>
          <w:sz w:val="28"/>
          <w:szCs w:val="28"/>
        </w:rPr>
        <w:t>。同时针对各类人员提出了应具备的基本要求。竞赛管理人员应具有相关赛事管理经验，熟悉赛事规程，具备统筹、协调能力；裁判员应具有相应项目裁判等级，按需配备和培训；仲裁员应熟悉项目规则，具备赛事裁判经验；医护人员应具有相应资质，按需配备并提供相应专业技能培训；安保人员应进行资格审查，按需配备并参加安全保卫相关专业知识培训；志愿者宜按需配备并分配到合适的岗位。</w:t>
      </w:r>
      <w:r>
        <w:rPr>
          <w:rFonts w:hint="eastAsia" w:ascii="宋体" w:hAnsi="宋体" w:eastAsia="宋体" w:cs="宋体"/>
          <w:color w:val="auto"/>
          <w:sz w:val="28"/>
          <w:szCs w:val="28"/>
          <w:lang w:val="en-US" w:eastAsia="zh-CN"/>
        </w:rPr>
        <w:t>赛事活动运营方应在赛前组织安保人员、志愿者等工作人员统一参与赛事活动相关安全培训。赛事活动运营方宜优先选取具有相关赛事活动服务经验和运动经历的人员。</w:t>
      </w:r>
    </w:p>
    <w:p w14:paraId="3F62830D">
      <w:pPr>
        <w:pStyle w:val="15"/>
        <w:numPr>
          <w:ilvl w:val="0"/>
          <w:numId w:val="13"/>
        </w:numPr>
        <w:spacing w:line="360" w:lineRule="auto"/>
        <w:ind w:firstLineChars="0"/>
        <w:rPr>
          <w:rFonts w:ascii="宋体" w:hAnsi="宋体" w:eastAsia="宋体" w:cs="宋体"/>
          <w:color w:val="auto"/>
          <w:sz w:val="28"/>
          <w:szCs w:val="28"/>
        </w:rPr>
      </w:pPr>
      <w:r>
        <w:rPr>
          <w:rFonts w:hint="eastAsia" w:ascii="宋体" w:hAnsi="宋体" w:eastAsia="宋体" w:cs="宋体"/>
          <w:color w:val="auto"/>
          <w:sz w:val="28"/>
          <w:szCs w:val="28"/>
        </w:rPr>
        <w:t>场地、器材和设施</w:t>
      </w:r>
    </w:p>
    <w:p w14:paraId="4BE5B8A3">
      <w:pPr>
        <w:pStyle w:val="15"/>
        <w:numPr>
          <w:ilvl w:val="4"/>
          <w:numId w:val="14"/>
        </w:numPr>
        <w:spacing w:line="360" w:lineRule="auto"/>
        <w:ind w:left="998" w:hanging="357" w:firstLineChars="0"/>
        <w:rPr>
          <w:rFonts w:ascii="宋体" w:hAnsi="宋体" w:eastAsia="宋体" w:cs="宋体"/>
          <w:color w:val="auto"/>
          <w:sz w:val="28"/>
          <w:szCs w:val="28"/>
        </w:rPr>
      </w:pPr>
      <w:r>
        <w:rPr>
          <w:rFonts w:hint="eastAsia" w:ascii="宋体" w:hAnsi="宋体" w:eastAsia="宋体" w:cs="宋体"/>
          <w:color w:val="auto"/>
          <w:sz w:val="28"/>
          <w:szCs w:val="28"/>
        </w:rPr>
        <w:t>赛场选址</w:t>
      </w:r>
    </w:p>
    <w:p w14:paraId="59D76BAD">
      <w:pPr>
        <w:pStyle w:val="15"/>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lang w:eastAsia="zh-CN"/>
        </w:rPr>
        <w:t>赛事活动运营方</w:t>
      </w:r>
      <w:r>
        <w:rPr>
          <w:rFonts w:hint="eastAsia" w:ascii="宋体" w:hAnsi="宋体" w:eastAsia="宋体" w:cs="宋体"/>
          <w:color w:val="auto"/>
          <w:sz w:val="28"/>
          <w:szCs w:val="28"/>
        </w:rPr>
        <w:t>应根据赛事活动规模和赛事活动需要，选择符合相关标准、全国单项体育协会相关技术文件要求以及安全要求的比赛场地、场所。参照GB/T 33170.3-2016 《大型活动安全要求 第3部分：场地布局和安全导向标识》对场地选择的环境条件要求</w:t>
      </w:r>
      <w:r>
        <w:rPr>
          <w:rFonts w:hint="eastAsia" w:ascii="宋体" w:hAnsi="宋体" w:eastAsia="宋体" w:cs="宋体"/>
          <w:color w:val="auto"/>
          <w:sz w:val="28"/>
          <w:szCs w:val="28"/>
          <w:lang w:eastAsia="zh-CN"/>
        </w:rPr>
        <w:t>作出</w:t>
      </w:r>
      <w:r>
        <w:rPr>
          <w:rFonts w:hint="eastAsia" w:ascii="宋体" w:hAnsi="宋体" w:eastAsia="宋体" w:cs="宋体"/>
          <w:color w:val="auto"/>
          <w:sz w:val="28"/>
          <w:szCs w:val="28"/>
        </w:rPr>
        <w:t>说明。</w:t>
      </w:r>
    </w:p>
    <w:p w14:paraId="418E481D">
      <w:pPr>
        <w:pStyle w:val="15"/>
        <w:numPr>
          <w:ilvl w:val="4"/>
          <w:numId w:val="14"/>
        </w:numPr>
        <w:spacing w:line="360" w:lineRule="auto"/>
        <w:ind w:left="998" w:hanging="357" w:firstLineChars="0"/>
        <w:rPr>
          <w:rFonts w:ascii="宋体" w:hAnsi="宋体" w:eastAsia="宋体" w:cs="宋体"/>
          <w:color w:val="auto"/>
          <w:sz w:val="28"/>
          <w:szCs w:val="28"/>
        </w:rPr>
      </w:pPr>
      <w:r>
        <w:rPr>
          <w:rFonts w:hint="eastAsia" w:ascii="宋体" w:hAnsi="宋体" w:eastAsia="宋体" w:cs="宋体"/>
          <w:color w:val="auto"/>
          <w:sz w:val="28"/>
          <w:szCs w:val="28"/>
        </w:rPr>
        <w:t>场地区域设置</w:t>
      </w:r>
    </w:p>
    <w:p w14:paraId="4D986990">
      <w:pPr>
        <w:pStyle w:val="15"/>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本节给出了划分区域的要点。应在赛事活动周界设置金属栅栏或其他隔离设施。在赛事活动前应根据场馆地形结构、周边环境和参赛规模合理安排仪式区、比赛区、表演区、观众区、媒体区、停车区等相关区域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场地布局及安全标识应符合GB/T 33170.3的规定</w:t>
      </w:r>
      <w:r>
        <w:rPr>
          <w:rFonts w:hint="eastAsia" w:ascii="宋体" w:hAnsi="宋体" w:eastAsia="宋体" w:cs="宋体"/>
          <w:color w:val="auto"/>
          <w:sz w:val="28"/>
          <w:szCs w:val="28"/>
        </w:rPr>
        <w:t>。区域位置的设置宜考虑活动流程的顺畅和特定人群的安全需求。区域大小的设置宜考虑本区域特定人群的规模和空间需求。应根据活动需求在区域间设置区隔线（贴）、警戒带、礼宾线、硬质隔离、通道等隔离措施。</w:t>
      </w:r>
    </w:p>
    <w:p w14:paraId="70724ECD">
      <w:pPr>
        <w:pStyle w:val="15"/>
        <w:numPr>
          <w:ilvl w:val="4"/>
          <w:numId w:val="14"/>
        </w:numPr>
        <w:spacing w:line="360" w:lineRule="auto"/>
        <w:ind w:left="998" w:hanging="357" w:firstLineChars="0"/>
        <w:rPr>
          <w:rFonts w:ascii="宋体" w:hAnsi="宋体" w:eastAsia="宋体" w:cs="宋体"/>
          <w:color w:val="auto"/>
          <w:sz w:val="28"/>
          <w:szCs w:val="28"/>
        </w:rPr>
      </w:pPr>
      <w:r>
        <w:rPr>
          <w:rFonts w:hint="eastAsia" w:ascii="宋体" w:hAnsi="宋体" w:eastAsia="宋体" w:cs="宋体"/>
          <w:color w:val="auto"/>
          <w:sz w:val="28"/>
          <w:szCs w:val="28"/>
        </w:rPr>
        <w:t>场地点位设置</w:t>
      </w:r>
    </w:p>
    <w:p w14:paraId="0752B07E">
      <w:pPr>
        <w:pStyle w:val="15"/>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救护点、补给点等</w:t>
      </w:r>
      <w:r>
        <w:rPr>
          <w:rFonts w:hint="eastAsia" w:ascii="宋体" w:hAnsi="宋体" w:eastAsia="宋体" w:cs="宋体"/>
          <w:color w:val="auto"/>
          <w:sz w:val="28"/>
          <w:szCs w:val="28"/>
          <w:lang w:eastAsia="zh-CN"/>
        </w:rPr>
        <w:t>各类</w:t>
      </w:r>
      <w:r>
        <w:rPr>
          <w:rFonts w:hint="eastAsia" w:ascii="宋体" w:hAnsi="宋体" w:eastAsia="宋体" w:cs="宋体"/>
          <w:color w:val="auto"/>
          <w:sz w:val="28"/>
          <w:szCs w:val="28"/>
        </w:rPr>
        <w:t>点位设置是保障赛事活动安全的重要环节之一。本节给出了相关点位数量和位置设置的要求。救护点数量的设置应充分考虑体育项目的运动风险、参加人员的年龄和身体特点、活动人员和场地规模。位置的设置考虑方便现场施救、易于撤离就医。卫生间应设置明显指示标志，确保及时开放、清理。消防车应按照全民健身赛事活动需求和公安部门的要求设置。应根据全民健身赛事活动需求设置充足的补给点，安排相应志愿者引导参赛人员有序补充水分和能量。户外赛事还应设置通讯设备、收容车等。</w:t>
      </w:r>
    </w:p>
    <w:p w14:paraId="358F7E08">
      <w:pPr>
        <w:pStyle w:val="15"/>
        <w:numPr>
          <w:ilvl w:val="4"/>
          <w:numId w:val="14"/>
        </w:numPr>
        <w:spacing w:line="360" w:lineRule="auto"/>
        <w:ind w:left="998" w:hanging="357" w:firstLineChars="0"/>
        <w:rPr>
          <w:rFonts w:ascii="宋体" w:hAnsi="宋体" w:eastAsia="宋体" w:cs="宋体"/>
          <w:color w:val="auto"/>
          <w:sz w:val="28"/>
          <w:szCs w:val="28"/>
        </w:rPr>
      </w:pPr>
      <w:r>
        <w:rPr>
          <w:rFonts w:hint="eastAsia" w:ascii="宋体" w:hAnsi="宋体" w:eastAsia="宋体" w:cs="宋体"/>
          <w:color w:val="auto"/>
          <w:sz w:val="28"/>
          <w:szCs w:val="28"/>
        </w:rPr>
        <w:t>场地流线设置</w:t>
      </w:r>
    </w:p>
    <w:p w14:paraId="772D8387">
      <w:pPr>
        <w:pStyle w:val="15"/>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合理的流线设置是维护赛事活动良好秩序的重要保障。本节给出了设计流线时，应考虑的安全因素，如：预留安全通道，设置硬质隔离、指示标识等安全设施，应尽量避免人车流线交叉造成安全隐患。安全疏散路线应便捷、通畅，疏散通道不能有影响疏散的突出物、障碍物，同时安全疏散的宽度、距离以及台阶的设计应适当考虑到少年儿童、老人等的特点，在疏散时提高行走的安全性，防止踩踏发生。</w:t>
      </w:r>
    </w:p>
    <w:p w14:paraId="32923A4B">
      <w:pPr>
        <w:pStyle w:val="15"/>
        <w:numPr>
          <w:ilvl w:val="4"/>
          <w:numId w:val="14"/>
        </w:numPr>
        <w:spacing w:line="360" w:lineRule="auto"/>
        <w:ind w:left="998" w:hanging="357" w:firstLineChars="0"/>
        <w:rPr>
          <w:rFonts w:ascii="宋体" w:hAnsi="宋体" w:eastAsia="宋体" w:cs="宋体"/>
          <w:color w:val="auto"/>
          <w:sz w:val="28"/>
          <w:szCs w:val="28"/>
        </w:rPr>
      </w:pPr>
      <w:r>
        <w:rPr>
          <w:rFonts w:hint="eastAsia" w:ascii="宋体" w:hAnsi="宋体" w:eastAsia="宋体" w:cs="宋体"/>
          <w:color w:val="auto"/>
          <w:sz w:val="28"/>
          <w:szCs w:val="28"/>
        </w:rPr>
        <w:t>设施与器材</w:t>
      </w:r>
    </w:p>
    <w:p w14:paraId="534658C7">
      <w:pPr>
        <w:pStyle w:val="15"/>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为保障全民健身赛事活动安全，配置符合相关标准和要求的场地、器材和设施，宜包括但不限于：通讯系统及警报系统，照明系统，消防系统，应急辅助设施和设备，应急转运车辆及工具，应急医疗救护设备和药品，电子电视屏及广播系统，防暴、反恐装备等。并对应急装备和器材建立台账，进行维护、保养、检测、维修等工作。</w:t>
      </w:r>
    </w:p>
    <w:p w14:paraId="0A7E53FE">
      <w:pPr>
        <w:pStyle w:val="15"/>
        <w:numPr>
          <w:ilvl w:val="0"/>
          <w:numId w:val="13"/>
        </w:numPr>
        <w:spacing w:line="360" w:lineRule="auto"/>
        <w:ind w:firstLineChars="0"/>
        <w:rPr>
          <w:rFonts w:ascii="宋体" w:hAnsi="宋体" w:eastAsia="宋体" w:cs="宋体"/>
          <w:color w:val="auto"/>
          <w:sz w:val="28"/>
          <w:szCs w:val="28"/>
        </w:rPr>
      </w:pPr>
      <w:r>
        <w:rPr>
          <w:rFonts w:hint="eastAsia" w:ascii="宋体" w:hAnsi="宋体" w:eastAsia="宋体" w:cs="宋体"/>
          <w:color w:val="auto"/>
          <w:sz w:val="28"/>
          <w:szCs w:val="28"/>
          <w:lang w:val="en-US" w:eastAsia="zh-CN"/>
        </w:rPr>
        <w:t>信息技术</w:t>
      </w:r>
    </w:p>
    <w:p w14:paraId="219538BA">
      <w:pPr>
        <w:pStyle w:val="30"/>
        <w:ind w:firstLine="560" w:firstLineChars="200"/>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rPr>
        <w:t>赛事活动运营方赛前、赛中、赛后应通过信息平台、公示公告、参赛指引等渠道发布参赛人员应遵守的活动规程和处罚管理办法的责任声明</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应提供满足全民健身赛事活动所需的通信网络。应建立并实施信息安全管理制度，确保信息安全。</w:t>
      </w:r>
    </w:p>
    <w:p w14:paraId="33E09C8A">
      <w:pPr>
        <w:pStyle w:val="30"/>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eastAsia="zh-CN"/>
        </w:rPr>
        <w:t>参考 GB/T 体育赛事活动管理规范  6.10，</w:t>
      </w:r>
      <w:r>
        <w:rPr>
          <w:rFonts w:hint="eastAsia" w:ascii="宋体" w:hAnsi="宋体" w:eastAsia="宋体" w:cs="宋体"/>
          <w:color w:val="auto"/>
          <w:kern w:val="2"/>
          <w:sz w:val="28"/>
          <w:szCs w:val="28"/>
          <w:lang w:val="en-US" w:eastAsia="zh-CN"/>
        </w:rPr>
        <w:t>宜根据全民健身赛事活动的级别和规模配备支持体育赛事活动筹备、计时记分、仲裁录像、裁判辅助、成绩处理、赛时指挥等方面的信息系统。</w:t>
      </w:r>
      <w:r>
        <w:rPr>
          <w:rFonts w:hint="eastAsia" w:ascii="宋体" w:hAnsi="宋体" w:eastAsia="宋体" w:cs="宋体"/>
          <w:color w:val="auto"/>
          <w:kern w:val="2"/>
          <w:sz w:val="28"/>
          <w:szCs w:val="28"/>
        </w:rPr>
        <w:t>赛前应编制赛事活动通讯录并及时更新。</w:t>
      </w:r>
    </w:p>
    <w:p w14:paraId="7D27A85F">
      <w:pPr>
        <w:pStyle w:val="30"/>
        <w:ind w:firstLine="560" w:firstLineChars="200"/>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eastAsia="zh-CN"/>
        </w:rPr>
        <w:t>参考 TY/T 1006-2023 5.5.7，</w:t>
      </w:r>
      <w:r>
        <w:rPr>
          <w:rFonts w:hint="eastAsia" w:ascii="宋体" w:hAnsi="宋体" w:eastAsia="宋体" w:cs="宋体"/>
          <w:color w:val="auto"/>
          <w:kern w:val="2"/>
          <w:sz w:val="28"/>
          <w:szCs w:val="28"/>
          <w:lang w:val="en-US" w:eastAsia="zh-CN"/>
        </w:rPr>
        <w:t>宜配备多种渠道的信息化管理系统，具有全民健身赛事活动报名、成绩查询、信息触达、媒体报道、交流互动、赛事服务等功能。系统应用方式包括但不限于：网站、应用程序（APP）、小程序、公众号、服务号。</w:t>
      </w:r>
    </w:p>
    <w:p w14:paraId="0D5D163A">
      <w:pPr>
        <w:pStyle w:val="30"/>
        <w:ind w:firstLine="560" w:firstLineChars="200"/>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eastAsia="zh-CN"/>
        </w:rPr>
        <w:t>参考 TY/T 1106-2023 6.3，</w:t>
      </w:r>
      <w:r>
        <w:rPr>
          <w:rFonts w:hint="eastAsia" w:ascii="宋体" w:hAnsi="宋体" w:eastAsia="宋体" w:cs="宋体"/>
          <w:color w:val="auto"/>
          <w:kern w:val="2"/>
          <w:sz w:val="28"/>
          <w:szCs w:val="28"/>
          <w:lang w:val="en-US" w:eastAsia="zh-CN"/>
        </w:rPr>
        <w:t>宜建立、实施和保持全民健身赛事活动信息管理制度，包括但不限于：建立全民健身赛事活动信息管理和规范，规定宜妥善保管的信息内容及保管期限、建立全民健身赛事活动信息档案，包括裁判员、参赛者、教练员、工作人员、医疗人员、新闻媒体人员等人员信息、建立全民健身赛事活动信息发布管理制度，包括裁判员、参赛者信息发布、赛事信息发布、成绩发布等；</w:t>
      </w:r>
    </w:p>
    <w:p w14:paraId="45172298">
      <w:pPr>
        <w:pStyle w:val="15"/>
        <w:numPr>
          <w:ilvl w:val="0"/>
          <w:numId w:val="13"/>
        </w:numPr>
        <w:spacing w:line="360" w:lineRule="auto"/>
        <w:ind w:firstLineChars="0"/>
        <w:rPr>
          <w:rFonts w:ascii="宋体" w:hAnsi="宋体" w:eastAsia="宋体" w:cs="宋体"/>
          <w:color w:val="auto"/>
          <w:sz w:val="28"/>
          <w:szCs w:val="28"/>
        </w:rPr>
      </w:pPr>
      <w:r>
        <w:rPr>
          <w:rFonts w:hint="eastAsia" w:ascii="宋体" w:hAnsi="宋体" w:eastAsia="宋体" w:cs="宋体"/>
          <w:color w:val="auto"/>
          <w:sz w:val="28"/>
          <w:szCs w:val="28"/>
        </w:rPr>
        <w:t>保险</w:t>
      </w:r>
    </w:p>
    <w:p w14:paraId="7E38CB33">
      <w:pPr>
        <w:pStyle w:val="15"/>
        <w:spacing w:line="360" w:lineRule="auto"/>
        <w:ind w:firstLine="560"/>
        <w:rPr>
          <w:rFonts w:ascii="宋体" w:hAnsi="宋体" w:eastAsia="宋体" w:cs="宋体"/>
          <w:bCs/>
          <w:color w:val="auto"/>
          <w:sz w:val="28"/>
          <w:szCs w:val="28"/>
        </w:rPr>
      </w:pPr>
      <w:r>
        <w:rPr>
          <w:rFonts w:hint="eastAsia" w:ascii="宋体" w:hAnsi="宋体" w:eastAsia="宋体" w:cs="宋体"/>
          <w:bCs/>
          <w:color w:val="auto"/>
          <w:sz w:val="28"/>
          <w:szCs w:val="28"/>
        </w:rPr>
        <w:t>《体育法》第十九条规定“大型体育赛事活动组织者应当和参与者协商投保体育意外伤害保险。高危险性体育赛事活动组织者应当投保体育意外伤害保险。”本节提出体育赛事活动应根据赛事主办方、赛事规模、赛事风险类型，购买不同类别保险。此外，对参赛者建议签署自愿参赛责任书。对身体条件有特殊要求的，主办方或承办方应要求其提供符合体育赛事活动要求的身体状况证明。</w:t>
      </w:r>
    </w:p>
    <w:p w14:paraId="5E4417F3">
      <w:pPr>
        <w:pStyle w:val="15"/>
        <w:numPr>
          <w:ilvl w:val="0"/>
          <w:numId w:val="13"/>
        </w:numPr>
        <w:spacing w:line="360" w:lineRule="auto"/>
        <w:ind w:firstLineChars="0"/>
        <w:rPr>
          <w:rFonts w:ascii="宋体" w:hAnsi="宋体" w:eastAsia="宋体" w:cs="宋体"/>
          <w:color w:val="auto"/>
          <w:sz w:val="28"/>
          <w:szCs w:val="28"/>
        </w:rPr>
      </w:pPr>
      <w:r>
        <w:rPr>
          <w:rFonts w:hint="eastAsia" w:ascii="宋体" w:hAnsi="宋体" w:eastAsia="宋体" w:cs="宋体"/>
          <w:color w:val="auto"/>
          <w:sz w:val="28"/>
          <w:szCs w:val="28"/>
        </w:rPr>
        <w:t>宣传</w:t>
      </w:r>
      <w:r>
        <w:rPr>
          <w:rFonts w:hint="eastAsia" w:ascii="宋体" w:hAnsi="宋体" w:eastAsia="宋体" w:cs="宋体"/>
          <w:color w:val="auto"/>
          <w:sz w:val="28"/>
          <w:szCs w:val="28"/>
          <w:lang w:val="en-US" w:eastAsia="zh-CN"/>
        </w:rPr>
        <w:t>与舆情</w:t>
      </w:r>
    </w:p>
    <w:p w14:paraId="7FF8C376">
      <w:pPr>
        <w:pStyle w:val="15"/>
        <w:spacing w:line="360" w:lineRule="auto"/>
        <w:ind w:firstLine="560"/>
        <w:rPr>
          <w:rFonts w:ascii="宋体" w:hAnsi="宋体" w:eastAsia="宋体" w:cs="宋体"/>
          <w:bCs/>
          <w:color w:val="auto"/>
          <w:sz w:val="28"/>
          <w:szCs w:val="28"/>
        </w:rPr>
      </w:pPr>
      <w:r>
        <w:rPr>
          <w:rFonts w:hint="eastAsia" w:ascii="宋体" w:hAnsi="宋体" w:eastAsia="宋体" w:cs="宋体"/>
          <w:bCs/>
          <w:color w:val="auto"/>
          <w:sz w:val="28"/>
          <w:szCs w:val="28"/>
          <w:lang w:eastAsia="zh-CN"/>
        </w:rPr>
        <w:t>赛事活动运营方</w:t>
      </w:r>
      <w:r>
        <w:rPr>
          <w:rFonts w:hint="eastAsia" w:ascii="宋体" w:hAnsi="宋体" w:eastAsia="宋体" w:cs="宋体"/>
          <w:bCs/>
          <w:color w:val="auto"/>
          <w:sz w:val="28"/>
          <w:szCs w:val="28"/>
        </w:rPr>
        <w:t>应加强对媒体信息的管理，建立舆情预警、监测、研判、应对机制。宜制定赛事宣传工作方案，在赛事活动前通过政府网站和新闻媒体等途径，向社会公布竞赛规程，公开赛事活动的名称、时间、地点、主办方、承办方 、参赛条件及奖惩办法等基本信息，开展赛事宣传。若赛事活动因自然灾害、政府行为、社会异常事件等因素确需变更时间、地点、内容、规模或取消的，主办方应当在获得相关信息后及时公告。赛事活动运营方赛前、赛中、赛后应通过信息平台、公示公告、参赛指引等渠道发布参赛人员应遵守的活动规程和处罚管理办法的责任声明。</w:t>
      </w:r>
    </w:p>
    <w:p w14:paraId="3C87377C">
      <w:pPr>
        <w:pStyle w:val="15"/>
        <w:numPr>
          <w:ilvl w:val="0"/>
          <w:numId w:val="13"/>
        </w:numPr>
        <w:spacing w:line="360" w:lineRule="auto"/>
        <w:ind w:firstLineChars="0"/>
        <w:rPr>
          <w:rFonts w:ascii="宋体" w:hAnsi="宋体" w:eastAsia="宋体" w:cs="宋体"/>
          <w:color w:val="auto"/>
          <w:sz w:val="28"/>
          <w:szCs w:val="28"/>
        </w:rPr>
      </w:pPr>
      <w:r>
        <w:rPr>
          <w:rFonts w:hint="eastAsia" w:ascii="宋体" w:hAnsi="宋体" w:eastAsia="宋体" w:cs="宋体"/>
          <w:color w:val="auto"/>
          <w:sz w:val="28"/>
          <w:szCs w:val="28"/>
        </w:rPr>
        <w:t>资金</w:t>
      </w:r>
    </w:p>
    <w:p w14:paraId="2DE8998E">
      <w:pPr>
        <w:pStyle w:val="30"/>
        <w:spacing w:line="360" w:lineRule="auto"/>
        <w:ind w:firstLine="560" w:firstLineChars="200"/>
        <w:rPr>
          <w:rFonts w:hAnsi="宋体" w:cs="宋体"/>
          <w:bCs/>
          <w:color w:val="auto"/>
          <w:kern w:val="2"/>
          <w:sz w:val="28"/>
          <w:szCs w:val="28"/>
        </w:rPr>
      </w:pPr>
      <w:r>
        <w:rPr>
          <w:rFonts w:hint="eastAsia" w:hAnsi="宋体" w:cs="宋体"/>
          <w:bCs/>
          <w:color w:val="auto"/>
          <w:kern w:val="2"/>
          <w:sz w:val="28"/>
          <w:szCs w:val="28"/>
          <w:lang w:eastAsia="zh-CN"/>
        </w:rPr>
        <w:t>赛事活动运营方</w:t>
      </w:r>
      <w:r>
        <w:rPr>
          <w:rFonts w:hint="eastAsia" w:hAnsi="宋体" w:cs="宋体"/>
          <w:bCs/>
          <w:color w:val="auto"/>
          <w:kern w:val="2"/>
          <w:sz w:val="28"/>
          <w:szCs w:val="28"/>
        </w:rPr>
        <w:t>应根据赛事活动规模，制定资金计划和预算，涉及财政资金及体育部门主办的赛事，提交体育行政部门审批。落实保障体育赛事正常举办所需的资金，确保专款专用。体育赛事资金包含财政资金的，使用应符合相应财政资金管理及审计要求。对参赛人员收取费用，应明确赛事活动收费标准并向社会公布。</w:t>
      </w:r>
    </w:p>
    <w:p w14:paraId="2FD43426">
      <w:pPr>
        <w:pStyle w:val="15"/>
        <w:numPr>
          <w:ilvl w:val="0"/>
          <w:numId w:val="13"/>
        </w:numPr>
        <w:spacing w:line="360" w:lineRule="auto"/>
        <w:ind w:firstLineChars="0"/>
        <w:rPr>
          <w:rFonts w:ascii="宋体" w:hAnsi="宋体" w:eastAsia="宋体" w:cs="宋体"/>
          <w:color w:val="auto"/>
          <w:sz w:val="28"/>
          <w:szCs w:val="28"/>
        </w:rPr>
      </w:pPr>
      <w:r>
        <w:rPr>
          <w:rFonts w:hint="eastAsia" w:ascii="宋体" w:hAnsi="宋体" w:eastAsia="宋体" w:cs="宋体"/>
          <w:color w:val="auto"/>
          <w:sz w:val="28"/>
          <w:szCs w:val="28"/>
        </w:rPr>
        <w:t>反兴奋剂</w:t>
      </w:r>
    </w:p>
    <w:p w14:paraId="73ADC79B">
      <w:pPr>
        <w:pStyle w:val="30"/>
        <w:spacing w:line="360" w:lineRule="auto"/>
        <w:ind w:firstLine="560" w:firstLineChars="200"/>
        <w:rPr>
          <w:rFonts w:hAnsi="宋体" w:cs="宋体"/>
          <w:bCs/>
          <w:color w:val="auto"/>
          <w:kern w:val="2"/>
          <w:sz w:val="28"/>
          <w:szCs w:val="28"/>
        </w:rPr>
      </w:pPr>
      <w:r>
        <w:rPr>
          <w:rFonts w:hint="eastAsia" w:hAnsi="宋体" w:cs="宋体"/>
          <w:bCs/>
          <w:color w:val="auto"/>
          <w:kern w:val="2"/>
          <w:sz w:val="28"/>
          <w:szCs w:val="28"/>
        </w:rPr>
        <w:t>根据赛事活动需要，应对运动员进行反兴奋剂宣传和教育；对运动员在赛事活动中违规使用兴奋剂的，由有关赛事活动</w:t>
      </w:r>
      <w:r>
        <w:rPr>
          <w:rFonts w:hint="eastAsia" w:hAnsi="宋体" w:cs="宋体"/>
          <w:bCs/>
          <w:color w:val="auto"/>
          <w:kern w:val="2"/>
          <w:sz w:val="28"/>
          <w:szCs w:val="28"/>
          <w:lang w:val="en-US" w:eastAsia="zh-CN"/>
        </w:rPr>
        <w:t>运营方</w:t>
      </w:r>
      <w:r>
        <w:rPr>
          <w:rFonts w:hint="eastAsia" w:hAnsi="宋体" w:cs="宋体"/>
          <w:bCs/>
          <w:color w:val="auto"/>
          <w:kern w:val="2"/>
          <w:sz w:val="28"/>
          <w:szCs w:val="28"/>
        </w:rPr>
        <w:t>、体育社会组织、运动员管理单位，作出取消参赛资格、取消比赛成绩或者禁赛等处理。</w:t>
      </w:r>
    </w:p>
    <w:p w14:paraId="66084517">
      <w:pPr>
        <w:pStyle w:val="15"/>
        <w:numPr>
          <w:ilvl w:val="0"/>
          <w:numId w:val="13"/>
        </w:numPr>
        <w:spacing w:line="360" w:lineRule="auto"/>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医</w:t>
      </w:r>
      <w:r>
        <w:rPr>
          <w:rFonts w:hint="eastAsia" w:ascii="宋体" w:hAnsi="宋体" w:eastAsia="宋体" w:cs="宋体"/>
          <w:color w:val="auto"/>
          <w:sz w:val="28"/>
          <w:szCs w:val="28"/>
          <w:lang w:val="en-US" w:eastAsia="zh-CN"/>
        </w:rPr>
        <w:t>疗</w:t>
      </w:r>
    </w:p>
    <w:p w14:paraId="116FB2F9">
      <w:pPr>
        <w:pStyle w:val="30"/>
        <w:spacing w:line="360" w:lineRule="auto"/>
        <w:ind w:firstLine="560" w:firstLineChars="200"/>
        <w:rPr>
          <w:rFonts w:hAnsi="宋体" w:cs="宋体"/>
          <w:color w:val="auto"/>
          <w:kern w:val="2"/>
          <w:sz w:val="28"/>
          <w:szCs w:val="28"/>
        </w:rPr>
      </w:pPr>
      <w:r>
        <w:rPr>
          <w:rFonts w:hint="eastAsia" w:hAnsi="宋体" w:cs="宋体"/>
          <w:color w:val="auto"/>
          <w:kern w:val="2"/>
          <w:sz w:val="28"/>
          <w:szCs w:val="28"/>
        </w:rPr>
        <w:t>根据赛事活动规模，结合医疗卫生部门的意见，配备相应数量的医护人员、救护车，应急医疗救护设备和药品，制定医疗保障及救护方案。大型或重要赛事活动宜配备1辆备用救护车在比赛场地周边待命，选择具有资质且距离较近的医院作为赛事活动指定医院。</w:t>
      </w:r>
    </w:p>
    <w:p w14:paraId="452BA99E">
      <w:pPr>
        <w:pStyle w:val="15"/>
        <w:numPr>
          <w:ilvl w:val="0"/>
          <w:numId w:val="13"/>
        </w:numPr>
        <w:spacing w:line="360" w:lineRule="auto"/>
        <w:ind w:firstLineChars="0"/>
        <w:rPr>
          <w:rFonts w:ascii="宋体" w:hAnsi="宋体" w:eastAsia="宋体" w:cs="宋体"/>
          <w:color w:val="auto"/>
          <w:sz w:val="28"/>
          <w:szCs w:val="28"/>
        </w:rPr>
      </w:pPr>
      <w:r>
        <w:rPr>
          <w:rFonts w:hint="eastAsia" w:ascii="宋体" w:hAnsi="宋体" w:eastAsia="宋体" w:cs="宋体"/>
          <w:color w:val="auto"/>
          <w:sz w:val="28"/>
          <w:szCs w:val="28"/>
          <w:lang w:val="en-US" w:eastAsia="zh-CN"/>
        </w:rPr>
        <w:t>食宿</w:t>
      </w:r>
    </w:p>
    <w:p w14:paraId="31B5D407">
      <w:pPr>
        <w:pStyle w:val="30"/>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根据赛事活动需要，如需定点采购食材，应留样备查，防范食源性兴奋剂风险</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对于采购、赞助的各类食品、饮品等其他物品，应查验无误后再进行签收，并确保储存、运输条件符合食品安全工作相关规定</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宜根据赛事活动日程安排、接待对象的需求选择舒适的住宿服务，宜提供酒店位置、房型、酒店设施、酒店交通、费用标准等信息。</w:t>
      </w:r>
    </w:p>
    <w:p w14:paraId="68F46C52">
      <w:pPr>
        <w:pStyle w:val="15"/>
        <w:numPr>
          <w:ilvl w:val="0"/>
          <w:numId w:val="13"/>
        </w:numPr>
        <w:spacing w:line="360" w:lineRule="auto"/>
        <w:ind w:firstLineChars="0"/>
        <w:rPr>
          <w:rFonts w:ascii="宋体" w:hAnsi="宋体" w:eastAsia="宋体" w:cs="宋体"/>
          <w:color w:val="auto"/>
          <w:sz w:val="28"/>
          <w:szCs w:val="28"/>
        </w:rPr>
      </w:pPr>
      <w:r>
        <w:rPr>
          <w:rFonts w:hint="eastAsia" w:ascii="宋体" w:hAnsi="宋体" w:eastAsia="宋体" w:cs="宋体"/>
          <w:color w:val="auto"/>
          <w:sz w:val="28"/>
          <w:szCs w:val="28"/>
          <w:lang w:val="en-US" w:eastAsia="zh-CN"/>
        </w:rPr>
        <w:t>交通</w:t>
      </w:r>
    </w:p>
    <w:p w14:paraId="56428C33">
      <w:pPr>
        <w:pStyle w:val="30"/>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参考 GB/T XXXX—2024 《体育赛事活动管理规范》 6.9，根据赛事活动需要，如需提供交通服务，应制定交通服务的实施方案，结合交通服务需求和范围，提供交通服务信息。赛会提供的车辆、载运方式、行驶路线、上下客点位等应符合安全运输的要求。</w:t>
      </w:r>
    </w:p>
    <w:p w14:paraId="3A064F2E">
      <w:pPr>
        <w:pStyle w:val="15"/>
        <w:numPr>
          <w:ilvl w:val="0"/>
          <w:numId w:val="13"/>
        </w:numPr>
        <w:spacing w:line="360" w:lineRule="auto"/>
        <w:ind w:firstLineChars="0"/>
        <w:rPr>
          <w:rFonts w:ascii="宋体" w:hAnsi="宋体" w:eastAsia="宋体" w:cs="宋体"/>
          <w:color w:val="auto"/>
          <w:sz w:val="28"/>
          <w:szCs w:val="28"/>
        </w:rPr>
      </w:pPr>
      <w:r>
        <w:rPr>
          <w:rFonts w:hint="eastAsia" w:ascii="宋体" w:hAnsi="宋体" w:eastAsia="宋体" w:cs="宋体"/>
          <w:color w:val="auto"/>
          <w:sz w:val="28"/>
          <w:szCs w:val="28"/>
          <w:lang w:val="en-US" w:eastAsia="zh-CN"/>
        </w:rPr>
        <w:t>其他</w:t>
      </w:r>
    </w:p>
    <w:p w14:paraId="003FA37A">
      <w:pPr>
        <w:pStyle w:val="30"/>
        <w:spacing w:line="240" w:lineRule="auto"/>
        <w:ind w:firstLine="560" w:firstLineChars="200"/>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参考TY/Y 1006 5.7.4，宜根据赛事活动需要，提供必要的语言翻译服务。参考国家标准《体育赛事活动管理规范》 6.10-6.15，如邀请媒体宣传报道，应制定媒体报道服务及管理的实施方案；如需提供体育展示，应制定体育展示的实施方案；如组织仪式活动，应制定仪式（启动仪式、结束仪式和颁奖仪式等）的实施方案；宜主动办理商标、专利、著作权等知识产权手续，保护赛事活动相关权益；</w:t>
      </w:r>
      <w:r>
        <w:rPr>
          <w:rFonts w:hint="eastAsia" w:ascii="宋体" w:hAnsi="宋体" w:eastAsia="宋体" w:cs="宋体"/>
          <w:color w:val="auto"/>
          <w:kern w:val="2"/>
          <w:sz w:val="28"/>
          <w:szCs w:val="28"/>
        </w:rPr>
        <w:t>如涉及市场开发，应制定市场开发的实施方案。</w:t>
      </w:r>
    </w:p>
    <w:p w14:paraId="71587627">
      <w:pPr>
        <w:pStyle w:val="15"/>
        <w:numPr>
          <w:ilvl w:val="0"/>
          <w:numId w:val="10"/>
        </w:numPr>
        <w:spacing w:line="360" w:lineRule="auto"/>
        <w:ind w:left="0" w:firstLine="641" w:firstLineChars="0"/>
        <w:rPr>
          <w:rFonts w:ascii="宋体" w:hAnsi="宋体" w:eastAsia="宋体" w:cs="宋体"/>
          <w:color w:val="auto"/>
          <w:sz w:val="28"/>
          <w:szCs w:val="28"/>
        </w:rPr>
      </w:pPr>
      <w:r>
        <w:rPr>
          <w:rFonts w:hint="eastAsia" w:ascii="宋体" w:hAnsi="宋体" w:eastAsia="宋体" w:cs="宋体"/>
          <w:color w:val="auto"/>
          <w:sz w:val="28"/>
          <w:szCs w:val="28"/>
        </w:rPr>
        <w:t>应急处置</w:t>
      </w:r>
    </w:p>
    <w:p w14:paraId="420717C7">
      <w:pPr>
        <w:pStyle w:val="15"/>
        <w:numPr>
          <w:ilvl w:val="0"/>
          <w:numId w:val="15"/>
        </w:numPr>
        <w:spacing w:line="360" w:lineRule="auto"/>
        <w:ind w:firstLineChars="0"/>
        <w:rPr>
          <w:rFonts w:ascii="宋体" w:hAnsi="宋体" w:eastAsia="宋体" w:cs="宋体"/>
          <w:color w:val="auto"/>
          <w:sz w:val="28"/>
          <w:szCs w:val="28"/>
        </w:rPr>
      </w:pPr>
      <w:r>
        <w:rPr>
          <w:rFonts w:hint="eastAsia" w:ascii="宋体" w:hAnsi="宋体" w:eastAsia="宋体" w:cs="宋体"/>
          <w:color w:val="auto"/>
          <w:sz w:val="28"/>
          <w:szCs w:val="28"/>
        </w:rPr>
        <w:t>制定应急预案</w:t>
      </w:r>
    </w:p>
    <w:p w14:paraId="3F4AAFAA">
      <w:pPr>
        <w:pStyle w:val="15"/>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lang w:eastAsia="zh-CN"/>
        </w:rPr>
        <w:t>赛事活动运营方</w:t>
      </w:r>
      <w:r>
        <w:rPr>
          <w:rFonts w:hint="eastAsia" w:ascii="宋体" w:hAnsi="宋体" w:eastAsia="宋体" w:cs="宋体"/>
          <w:color w:val="auto"/>
          <w:sz w:val="28"/>
          <w:szCs w:val="28"/>
        </w:rPr>
        <w:t>应根据赛事项目类别，针对赛事活动期间可能出现的安全风险类型，按危害程度和应急处置能力进行分级，并制定相应的应急预案，制定相应的应急预案并进行应急预案培训和演练。</w:t>
      </w:r>
    </w:p>
    <w:p w14:paraId="5184E8F9">
      <w:pPr>
        <w:pStyle w:val="15"/>
        <w:numPr>
          <w:ilvl w:val="0"/>
          <w:numId w:val="15"/>
        </w:numPr>
        <w:spacing w:line="360" w:lineRule="auto"/>
        <w:ind w:firstLineChars="0"/>
        <w:rPr>
          <w:rFonts w:ascii="宋体" w:hAnsi="宋体" w:eastAsia="宋体" w:cs="宋体"/>
          <w:color w:val="auto"/>
          <w:sz w:val="28"/>
          <w:szCs w:val="28"/>
        </w:rPr>
      </w:pPr>
      <w:r>
        <w:rPr>
          <w:rFonts w:hint="eastAsia" w:ascii="宋体" w:hAnsi="宋体" w:eastAsia="宋体" w:cs="宋体"/>
          <w:color w:val="auto"/>
          <w:sz w:val="28"/>
          <w:szCs w:val="28"/>
        </w:rPr>
        <w:t>应急程序</w:t>
      </w:r>
    </w:p>
    <w:p w14:paraId="5DF2E000">
      <w:pPr>
        <w:pStyle w:val="15"/>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赛事活动期间，</w:t>
      </w:r>
      <w:r>
        <w:rPr>
          <w:rFonts w:hint="eastAsia" w:ascii="宋体" w:hAnsi="宋体" w:eastAsia="宋体" w:cs="宋体"/>
          <w:color w:val="auto"/>
          <w:sz w:val="28"/>
          <w:szCs w:val="28"/>
          <w:lang w:eastAsia="zh-CN"/>
        </w:rPr>
        <w:t>赛事活动运营方</w:t>
      </w:r>
      <w:r>
        <w:rPr>
          <w:rFonts w:hint="eastAsia" w:ascii="宋体" w:hAnsi="宋体" w:eastAsia="宋体" w:cs="宋体"/>
          <w:color w:val="auto"/>
          <w:sz w:val="28"/>
          <w:szCs w:val="28"/>
        </w:rPr>
        <w:t>应密切关注气象、水利、地震、自然资源、交通运输、卫生健康、应急管理部门等发出的预警信息及有关灾害、事故信息。当识别到上述安全风险或可能与赛事活动举办相关联的突发事故之一的，按照突发事件处置流程图，开展相关应急处置工作。</w:t>
      </w:r>
    </w:p>
    <w:p w14:paraId="610AEDCB">
      <w:pPr>
        <w:pStyle w:val="15"/>
        <w:numPr>
          <w:ilvl w:val="0"/>
          <w:numId w:val="15"/>
        </w:numPr>
        <w:spacing w:line="360" w:lineRule="auto"/>
        <w:ind w:firstLineChars="0"/>
        <w:rPr>
          <w:rFonts w:ascii="宋体" w:hAnsi="宋体" w:eastAsia="宋体" w:cs="宋体"/>
          <w:color w:val="auto"/>
          <w:sz w:val="28"/>
          <w:szCs w:val="28"/>
        </w:rPr>
      </w:pPr>
      <w:r>
        <w:rPr>
          <w:rFonts w:hint="eastAsia" w:ascii="宋体" w:hAnsi="宋体" w:eastAsia="宋体" w:cs="宋体"/>
          <w:color w:val="auto"/>
          <w:sz w:val="28"/>
          <w:szCs w:val="28"/>
        </w:rPr>
        <w:t>“熔断”机制</w:t>
      </w:r>
    </w:p>
    <w:p w14:paraId="2C3C17A4">
      <w:pPr>
        <w:pStyle w:val="15"/>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参照《关于建立健全体育赛事活动“熔断”机制的通知》，</w:t>
      </w:r>
      <w:r>
        <w:rPr>
          <w:rFonts w:hint="eastAsia" w:ascii="宋体" w:hAnsi="宋体" w:eastAsia="宋体" w:cs="宋体"/>
          <w:color w:val="auto"/>
          <w:sz w:val="28"/>
          <w:szCs w:val="28"/>
          <w:lang w:eastAsia="zh-CN"/>
        </w:rPr>
        <w:t>赛事活动运营方</w:t>
      </w:r>
      <w:r>
        <w:rPr>
          <w:rFonts w:hint="eastAsia" w:ascii="宋体" w:hAnsi="宋体" w:eastAsia="宋体" w:cs="宋体"/>
          <w:color w:val="auto"/>
          <w:sz w:val="28"/>
          <w:szCs w:val="28"/>
        </w:rPr>
        <w:t>应根据赛事活动项目类别，应考虑自然灾害、事故灾难、公共卫生事件、社会安全事件等其他可能导致不再具备办赛条件的情形时，制定相应“熔断”机制。如发生突发事件或识别出潜在风险时，应立即启动应急机制，现场进行应急处理并启动应急预案，当事态不可控时，启动“熔断”机制及时中止赛事并做相应处理。参考《关于进一步加强体育赛事活动安全监管服务的意见》《广东省体育局大型体育赛事活动突发公共事件应急预案（试行）》《广东省体育赛事活动风险评估办法》的相关要求，发生突发事件，应组织有关人员按照相关规定对突发事件及其处理情况进行评估，妥善做好善后工作事项及时消除突发事件对赛事造成的直接、潜在影响。</w:t>
      </w:r>
    </w:p>
    <w:p w14:paraId="14E19B83">
      <w:pPr>
        <w:pStyle w:val="15"/>
        <w:numPr>
          <w:ilvl w:val="0"/>
          <w:numId w:val="15"/>
        </w:numPr>
        <w:spacing w:line="360" w:lineRule="auto"/>
        <w:ind w:firstLineChars="0"/>
        <w:rPr>
          <w:rFonts w:hint="default" w:ascii="宋体" w:hAnsi="宋体" w:eastAsia="宋体" w:cs="宋体"/>
          <w:color w:val="auto"/>
          <w:sz w:val="28"/>
          <w:szCs w:val="28"/>
          <w:lang w:val="en-US"/>
        </w:rPr>
      </w:pPr>
      <w:r>
        <w:rPr>
          <w:rFonts w:hint="eastAsia" w:ascii="宋体" w:hAnsi="宋体" w:eastAsia="宋体" w:cs="宋体"/>
          <w:color w:val="auto"/>
          <w:sz w:val="28"/>
          <w:szCs w:val="28"/>
          <w:lang w:val="en-US" w:eastAsia="zh-CN"/>
        </w:rPr>
        <w:t>事故调查报告</w:t>
      </w:r>
    </w:p>
    <w:p w14:paraId="64024342">
      <w:pPr>
        <w:pStyle w:val="15"/>
        <w:spacing w:line="360" w:lineRule="auto"/>
        <w:ind w:firstLine="560"/>
        <w:rPr>
          <w:rFonts w:ascii="宋体" w:hAnsi="宋体" w:eastAsia="宋体" w:cs="宋体"/>
          <w:bCs/>
          <w:color w:val="auto"/>
          <w:sz w:val="28"/>
          <w:szCs w:val="28"/>
        </w:rPr>
      </w:pPr>
      <w:r>
        <w:rPr>
          <w:rFonts w:hint="eastAsia" w:ascii="宋体" w:hAnsi="宋体" w:eastAsia="宋体" w:cs="宋体"/>
          <w:bCs/>
          <w:color w:val="auto"/>
          <w:sz w:val="28"/>
          <w:szCs w:val="28"/>
        </w:rPr>
        <w:t>应组织有关人员按照相关规定对突发事件及其处理情况进行评估。在认定责任的前提下，因突发事件给当事人造成的已经证实的损失，应按照国家、省、市有关规定给予合理补偿，并安排专人完成后期现场清理、救助物资的管理与监督、协助应急人员和受灾人员保险理赔等善后工作事项。事故发生后，应急工作组负责向有关部门通报或对媒体发布事故信息，事故信息发布应遵守“不瞒报，不虚报，不做无依据推断”的原则。同时积极做好宣传、说明工作，及时消除突发事件对赛事造成的直接、潜在影响。</w:t>
      </w:r>
    </w:p>
    <w:p w14:paraId="5A2E1FD8">
      <w:pPr>
        <w:pStyle w:val="15"/>
        <w:numPr>
          <w:ilvl w:val="0"/>
          <w:numId w:val="10"/>
        </w:numPr>
        <w:spacing w:line="360" w:lineRule="auto"/>
        <w:ind w:left="0" w:firstLine="641" w:firstLineChars="0"/>
        <w:rPr>
          <w:rFonts w:ascii="宋体" w:hAnsi="宋体" w:eastAsia="宋体" w:cs="宋体"/>
          <w:color w:val="auto"/>
          <w:sz w:val="28"/>
          <w:szCs w:val="28"/>
        </w:rPr>
      </w:pPr>
      <w:r>
        <w:rPr>
          <w:rFonts w:hint="eastAsia" w:ascii="宋体" w:hAnsi="宋体" w:eastAsia="宋体" w:cs="宋体"/>
          <w:color w:val="auto"/>
          <w:sz w:val="28"/>
          <w:szCs w:val="28"/>
        </w:rPr>
        <w:t>赛事活动总结</w:t>
      </w:r>
    </w:p>
    <w:p w14:paraId="2AD05911">
      <w:pPr>
        <w:pStyle w:val="15"/>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赛事活动过程中，应注意收集适当的数据和信息，包括但不限于赛事介绍、赛事活动筹备、赛事活动过程、赛事效果和影响、问题和不足、总结与展望、图片和视频资料、数据统计等信息，用于赛后工作总结和分析。参考《关于进一步加强广东省体育赛事活动安全监管服务工作的通知》，承办方应在赛事活动完成后15个工作日内形成赛事活动总结报告报主办方备案。赛后应对发现的问题，制定整改措施，持续改进，加强对人员资质、场地设施配置、赛风赛纪总结、安全风险等相关信息的收集，全方位梳理排查各领域、各环节风险点，建立常态化工作机制，不断发现问题，及时研究解决，积极妥善应对，不断提高赛事活动运行管理水平。</w:t>
      </w:r>
    </w:p>
    <w:p w14:paraId="3D38D8D1">
      <w:pPr>
        <w:pStyle w:val="15"/>
        <w:numPr>
          <w:ilvl w:val="0"/>
          <w:numId w:val="10"/>
        </w:numPr>
        <w:spacing w:line="360" w:lineRule="auto"/>
        <w:ind w:left="0" w:firstLine="641" w:firstLineChars="0"/>
        <w:rPr>
          <w:rFonts w:ascii="宋体" w:hAnsi="宋体" w:eastAsia="宋体" w:cs="宋体"/>
          <w:color w:val="auto"/>
          <w:sz w:val="28"/>
          <w:szCs w:val="28"/>
        </w:rPr>
      </w:pPr>
      <w:r>
        <w:rPr>
          <w:rFonts w:hint="eastAsia" w:ascii="宋体" w:hAnsi="宋体" w:eastAsia="宋体" w:cs="宋体"/>
          <w:color w:val="auto"/>
          <w:sz w:val="28"/>
          <w:szCs w:val="28"/>
          <w:lang w:val="en-US" w:eastAsia="zh-CN"/>
        </w:rPr>
        <w:t>配合</w:t>
      </w:r>
      <w:r>
        <w:rPr>
          <w:rFonts w:hint="eastAsia" w:ascii="宋体" w:hAnsi="宋体" w:eastAsia="宋体" w:cs="宋体"/>
          <w:color w:val="auto"/>
          <w:sz w:val="28"/>
          <w:szCs w:val="28"/>
        </w:rPr>
        <w:t>赛事活动监管</w:t>
      </w:r>
    </w:p>
    <w:p w14:paraId="11E60557">
      <w:pPr>
        <w:spacing w:line="360" w:lineRule="auto"/>
        <w:ind w:firstLine="560" w:firstLineChars="200"/>
        <w:rPr>
          <w:rFonts w:ascii="宋体" w:hAnsi="宋体" w:eastAsia="宋体" w:cs="宋体"/>
          <w:bCs/>
          <w:color w:val="auto"/>
          <w:sz w:val="28"/>
          <w:szCs w:val="28"/>
        </w:rPr>
      </w:pPr>
      <w:r>
        <w:rPr>
          <w:rFonts w:hint="eastAsia" w:ascii="宋体" w:hAnsi="宋体" w:eastAsia="宋体" w:cs="宋体"/>
          <w:bCs/>
          <w:color w:val="auto"/>
          <w:sz w:val="28"/>
          <w:szCs w:val="28"/>
        </w:rPr>
        <w:t>建立健全赛事活动监管工作机制，对赛事活动场地实施现场检查，查阅、复制有关合同、票据、账簿，检查赛事活动组织方案、安全应急预案等材料；建立赛事活动报告制度，充分发挥“互联网+监管”功能，收集赛事活动的信息；对赛事活动举办前或举办中发现涉嫌不符合赛事活动条件、标准、规则等情形的，存在重大安全隐患的，或收到有关单位、个人提出相关建议、投诉、举报的，应当及时予以处理，提出整改建议；积极配合体育行政部门和反兴奋剂机构开展宣传教育以及检查检测等工作，采取措施防范兴奋剂风险隐患，在管理权限内对兴奋剂违规问题作出处理。</w:t>
      </w:r>
    </w:p>
    <w:p w14:paraId="097BCD7B">
      <w:pPr>
        <w:spacing w:line="360" w:lineRule="auto"/>
        <w:ind w:firstLine="562" w:firstLineChars="20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三、预期的社会、经济效益</w:t>
      </w:r>
    </w:p>
    <w:p w14:paraId="05C7A466">
      <w:pPr>
        <w:pStyle w:val="3"/>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通过本文件的制定，可以引导、规范和细化广东省行政区域内举办的赛事活动工作流程和工作文件，给出体育赛事活动申办和备案、体育赛事活动组织、体育赛事活动服务、体育赛事活动监管等方面政策要求的实现路径，为办赛机构提供安全技术支撑，同时为业务主管单位提供监管抓手，促进赛事产业蓬勃发展。</w:t>
      </w:r>
    </w:p>
    <w:p w14:paraId="6BE8C012">
      <w:pPr>
        <w:spacing w:line="360" w:lineRule="auto"/>
        <w:ind w:firstLine="562" w:firstLineChars="20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四、与国际、国外同类标准技术内容的对比情况</w:t>
      </w:r>
    </w:p>
    <w:p w14:paraId="4B7DFEDE">
      <w:pPr>
        <w:pStyle w:val="3"/>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无。</w:t>
      </w:r>
    </w:p>
    <w:p w14:paraId="3344E258">
      <w:pPr>
        <w:spacing w:line="360" w:lineRule="auto"/>
        <w:ind w:firstLine="562" w:firstLineChars="20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五、以国际标准为基础的起草情况及是否合规引用或者采用国际国外标准</w:t>
      </w:r>
    </w:p>
    <w:p w14:paraId="2522C5F4">
      <w:pPr>
        <w:pStyle w:val="3"/>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本文件未采用国际标准或国外先进标准。</w:t>
      </w:r>
    </w:p>
    <w:p w14:paraId="406D99A9">
      <w:pPr>
        <w:spacing w:line="360" w:lineRule="auto"/>
        <w:ind w:firstLine="562" w:firstLineChars="20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六、与有关法律、行政法规及相关标准的关系</w:t>
      </w:r>
    </w:p>
    <w:p w14:paraId="25C8355C">
      <w:pPr>
        <w:spacing w:line="360" w:lineRule="auto"/>
        <w:ind w:firstLine="560" w:firstLineChars="200"/>
        <w:rPr>
          <w:rFonts w:ascii="宋体" w:hAnsi="宋体" w:eastAsia="宋体" w:cs="宋体"/>
          <w:bCs/>
          <w:color w:val="auto"/>
          <w:sz w:val="28"/>
          <w:szCs w:val="28"/>
        </w:rPr>
      </w:pPr>
      <w:r>
        <w:rPr>
          <w:rFonts w:hint="eastAsia" w:ascii="宋体" w:hAnsi="宋体" w:eastAsia="宋体" w:cs="宋体"/>
          <w:bCs/>
          <w:color w:val="auto"/>
          <w:sz w:val="28"/>
          <w:szCs w:val="28"/>
        </w:rPr>
        <w:t>近年来，随着全民健身上升为国家战略，各级各类群众体育赛事活动数量激增，极大丰富了广大人民群众的文化体育生活。但相比于竞技体育赛事，群众体育赛事活动存在监管难度大、涉及面广、项目种类级别多、参与人群结构复杂、赛事风险点差异大、外部影响因素复杂等特点，为加强群众体育赛事活动安全管理，提升安全监管水平，推动群众体育赛事活动持续健康高质量发展，国家体育总局群众体育司近日发布《群众体育赛事活动安全评估技术导则》《群众体育赛事活动办赛指南 编制内容与评估指引》《群众体育赛事活动参赛指引 编制内容与评估指引》和《群众体育赛事活动运营服务规范》四项行业标准。其中《群众体育赛事活动安全评估技术导则》规定群众体育赛事活动安全评估的流程、策划、实施和总结，适用于各级各类群众体育赛事活动的安全评估。在此标准基础上，结合广东省全民健身赛事活动开展情况、现状及相关政策，对赛事活动的安全技术内容做出规范，文件资料及其要素，并给出相关资料性附录，进一步指导安全办赛；对赛事活动安全风险类型如人员风险、场地设施设备风险、自然灾害风险、事故灾难风险、公共卫生事件风险、社会安全事件风险进行梳理，可按照突发事件处置流程图，开展相应应急处置工作；并加强对赛事活动监管，保证赛事活动公平公正安全开展。</w:t>
      </w:r>
    </w:p>
    <w:p w14:paraId="1EB3B210">
      <w:pPr>
        <w:spacing w:line="360" w:lineRule="auto"/>
        <w:ind w:firstLine="562" w:firstLineChars="20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七、重大分歧意见的处理经过和依据</w:t>
      </w:r>
    </w:p>
    <w:p w14:paraId="690A9635">
      <w:pPr>
        <w:pStyle w:val="3"/>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本文件在制定过程中没有出现重大意见分歧。</w:t>
      </w:r>
    </w:p>
    <w:p w14:paraId="779D8CCD">
      <w:pPr>
        <w:spacing w:line="360" w:lineRule="auto"/>
        <w:ind w:firstLine="562" w:firstLineChars="20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八、涉及专利的相关说明</w:t>
      </w:r>
    </w:p>
    <w:p w14:paraId="711884BC">
      <w:pPr>
        <w:pStyle w:val="3"/>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无。</w:t>
      </w:r>
    </w:p>
    <w:p w14:paraId="6BE00045">
      <w:pPr>
        <w:spacing w:line="360" w:lineRule="auto"/>
        <w:ind w:firstLine="562" w:firstLineChars="20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九、实施标准的要求，以及组织措施、技术措施、过渡期和实施日期的建议等措施建议</w:t>
      </w:r>
    </w:p>
    <w:p w14:paraId="0925B2EB">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本标准发布后将作为我省全民健身赛事活动安全技术办赛重要技术依据。一方面，通过会议的方式对标准进行宣贯。加强相关单位对本标准的认识和了解。计划标准发布当年召开宣贯会议，邀请我省相关行政主管部门和标准主要起草人对我省各地方市县体育行政主管部门、场馆运营单位和赛事主办方等进行宣贯培训，后续每年召开一次标准宣贯培训会议，加强标准宣贯。引导办赛主体理解并实施标准，保障赛事活动的安全和规范化运营。</w:t>
      </w:r>
    </w:p>
    <w:p w14:paraId="6BC49766">
      <w:pPr>
        <w:spacing w:line="360" w:lineRule="auto"/>
        <w:ind w:firstLine="560" w:firstLineChars="200"/>
        <w:rPr>
          <w:rFonts w:ascii="宋体" w:hAnsi="宋体" w:eastAsia="宋体" w:cs="宋体"/>
          <w:b/>
          <w:bCs/>
          <w:color w:val="auto"/>
          <w:sz w:val="28"/>
          <w:szCs w:val="28"/>
        </w:rPr>
      </w:pPr>
      <w:r>
        <w:rPr>
          <w:rFonts w:hint="eastAsia" w:ascii="宋体" w:hAnsi="宋体" w:eastAsia="宋体" w:cs="宋体"/>
          <w:color w:val="auto"/>
          <w:sz w:val="28"/>
          <w:szCs w:val="28"/>
        </w:rPr>
        <w:t>另一方面，开展赛前筹备、赛中保障和赛后处置等单个阶段、阶段组合或全阶段覆盖的赛事安全检查、赛事安全评定等工作。采用安全评估、赛事体验、方案审查、运行记录抽查、满意度测评等方式，对赛事筹备、安全保障、重大事故隐患清单、应急预案、应急处置流程等进行检查。评定结果可为主管部门分业施策与分类指导、行业引导、市场服务等相关活动提供采信依据。</w:t>
      </w:r>
    </w:p>
    <w:p w14:paraId="6F543D48">
      <w:pPr>
        <w:spacing w:line="360" w:lineRule="auto"/>
        <w:ind w:firstLine="562" w:firstLineChars="20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十、其他应当说明的情况</w:t>
      </w:r>
    </w:p>
    <w:p w14:paraId="0272C9E2">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暂无。</w:t>
      </w:r>
    </w:p>
    <w:p w14:paraId="3545B8EF">
      <w:pPr>
        <w:pStyle w:val="32"/>
        <w:ind w:firstLine="480"/>
        <w:rPr>
          <w:color w:val="auto"/>
        </w:rPr>
      </w:pPr>
    </w:p>
    <w:p w14:paraId="4BAFE706">
      <w:pPr>
        <w:spacing w:line="360" w:lineRule="auto"/>
        <w:ind w:firstLine="560" w:firstLineChars="200"/>
        <w:jc w:val="right"/>
        <w:rPr>
          <w:rFonts w:ascii="宋体" w:hAnsi="宋体" w:eastAsia="宋体" w:cs="宋体"/>
          <w:bCs/>
          <w:color w:val="auto"/>
          <w:sz w:val="28"/>
          <w:szCs w:val="28"/>
        </w:rPr>
      </w:pPr>
      <w:r>
        <w:rPr>
          <w:rFonts w:hint="eastAsia" w:ascii="宋体" w:hAnsi="宋体" w:eastAsia="宋体" w:cs="宋体"/>
          <w:bCs/>
          <w:color w:val="auto"/>
          <w:sz w:val="28"/>
          <w:szCs w:val="28"/>
        </w:rPr>
        <w:t xml:space="preserve">   编制起草组</w:t>
      </w:r>
    </w:p>
    <w:p w14:paraId="6609BE78">
      <w:pPr>
        <w:wordWrap w:val="0"/>
        <w:spacing w:line="360" w:lineRule="auto"/>
        <w:ind w:firstLine="560" w:firstLineChars="200"/>
        <w:jc w:val="right"/>
        <w:rPr>
          <w:rFonts w:ascii="宋体" w:hAnsi="宋体" w:eastAsia="宋体" w:cs="宋体"/>
          <w:bCs/>
          <w:color w:val="auto"/>
          <w:sz w:val="28"/>
          <w:szCs w:val="28"/>
        </w:rPr>
      </w:pPr>
      <w:r>
        <w:rPr>
          <w:rFonts w:hint="eastAsia" w:ascii="宋体" w:hAnsi="宋体" w:eastAsia="宋体" w:cs="宋体"/>
          <w:bCs/>
          <w:color w:val="auto"/>
          <w:sz w:val="28"/>
          <w:szCs w:val="28"/>
        </w:rPr>
        <w:t xml:space="preserve"> 202</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rPr>
        <w:t>年</w:t>
      </w:r>
      <w:r>
        <w:rPr>
          <w:rFonts w:hint="eastAsia" w:ascii="宋体" w:hAnsi="宋体" w:eastAsia="宋体" w:cs="宋体"/>
          <w:bCs/>
          <w:color w:val="auto"/>
          <w:sz w:val="28"/>
          <w:szCs w:val="28"/>
          <w:lang w:val="en-US" w:eastAsia="zh-CN"/>
        </w:rPr>
        <w:t>9</w:t>
      </w:r>
      <w:r>
        <w:rPr>
          <w:rFonts w:hint="eastAsia" w:ascii="宋体" w:hAnsi="宋体" w:eastAsia="宋体" w:cs="宋体"/>
          <w:bCs/>
          <w:color w:val="auto"/>
          <w:sz w:val="28"/>
          <w:szCs w:val="28"/>
        </w:rPr>
        <w:t>月</w:t>
      </w:r>
    </w:p>
    <w:bookmarkEnd w:id="0"/>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9538572"/>
    </w:sdtPr>
    <w:sdtContent>
      <w:p w14:paraId="40D46D8F">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412CC"/>
    <w:multiLevelType w:val="singleLevel"/>
    <w:tmpl w:val="9CD412CC"/>
    <w:lvl w:ilvl="0" w:tentative="0">
      <w:start w:val="1"/>
      <w:numFmt w:val="decimal"/>
      <w:lvlText w:val="(%1)"/>
      <w:lvlJc w:val="left"/>
      <w:pPr>
        <w:ind w:left="425" w:hanging="425"/>
      </w:pPr>
      <w:rPr>
        <w:rFonts w:hint="default"/>
      </w:rPr>
    </w:lvl>
  </w:abstractNum>
  <w:abstractNum w:abstractNumId="1">
    <w:nsid w:val="ABC852F2"/>
    <w:multiLevelType w:val="singleLevel"/>
    <w:tmpl w:val="ABC852F2"/>
    <w:lvl w:ilvl="0" w:tentative="0">
      <w:start w:val="2"/>
      <w:numFmt w:val="chineseCounting"/>
      <w:suff w:val="nothing"/>
      <w:lvlText w:val="（%1）"/>
      <w:lvlJc w:val="left"/>
      <w:rPr>
        <w:rFonts w:hint="eastAsia"/>
      </w:rPr>
    </w:lvl>
  </w:abstractNum>
  <w:abstractNum w:abstractNumId="2">
    <w:nsid w:val="2EEE0E23"/>
    <w:multiLevelType w:val="multilevel"/>
    <w:tmpl w:val="2EEE0E23"/>
    <w:lvl w:ilvl="0" w:tentative="0">
      <w:start w:val="1"/>
      <w:numFmt w:val="lowerLetter"/>
      <w:lvlText w:val="%1."/>
      <w:lvlJc w:val="left"/>
      <w:pPr>
        <w:ind w:left="1001" w:hanging="360"/>
      </w:pPr>
      <w:rPr>
        <w:rFonts w:hint="default"/>
      </w:rPr>
    </w:lvl>
    <w:lvl w:ilvl="1" w:tentative="0">
      <w:start w:val="1"/>
      <w:numFmt w:val="lowerLetter"/>
      <w:lvlText w:val="%2)"/>
      <w:lvlJc w:val="left"/>
      <w:pPr>
        <w:ind w:left="1521" w:hanging="440"/>
      </w:pPr>
    </w:lvl>
    <w:lvl w:ilvl="2" w:tentative="0">
      <w:start w:val="1"/>
      <w:numFmt w:val="lowerRoman"/>
      <w:lvlText w:val="%3."/>
      <w:lvlJc w:val="right"/>
      <w:pPr>
        <w:ind w:left="1961" w:hanging="440"/>
      </w:pPr>
    </w:lvl>
    <w:lvl w:ilvl="3" w:tentative="0">
      <w:start w:val="1"/>
      <w:numFmt w:val="decimal"/>
      <w:lvlText w:val="%4."/>
      <w:lvlJc w:val="left"/>
      <w:pPr>
        <w:ind w:left="2401" w:hanging="440"/>
      </w:pPr>
    </w:lvl>
    <w:lvl w:ilvl="4" w:tentative="0">
      <w:start w:val="1"/>
      <w:numFmt w:val="lowerLetter"/>
      <w:lvlText w:val="%5)"/>
      <w:lvlJc w:val="left"/>
      <w:pPr>
        <w:ind w:left="2841" w:hanging="440"/>
      </w:pPr>
    </w:lvl>
    <w:lvl w:ilvl="5" w:tentative="0">
      <w:start w:val="1"/>
      <w:numFmt w:val="lowerRoman"/>
      <w:lvlText w:val="%6."/>
      <w:lvlJc w:val="right"/>
      <w:pPr>
        <w:ind w:left="3281" w:hanging="440"/>
      </w:pPr>
    </w:lvl>
    <w:lvl w:ilvl="6" w:tentative="0">
      <w:start w:val="1"/>
      <w:numFmt w:val="decimal"/>
      <w:lvlText w:val="%7."/>
      <w:lvlJc w:val="left"/>
      <w:pPr>
        <w:ind w:left="3721" w:hanging="440"/>
      </w:pPr>
    </w:lvl>
    <w:lvl w:ilvl="7" w:tentative="0">
      <w:start w:val="1"/>
      <w:numFmt w:val="lowerLetter"/>
      <w:lvlText w:val="%8)"/>
      <w:lvlJc w:val="left"/>
      <w:pPr>
        <w:ind w:left="4161" w:hanging="440"/>
      </w:pPr>
    </w:lvl>
    <w:lvl w:ilvl="8" w:tentative="0">
      <w:start w:val="1"/>
      <w:numFmt w:val="lowerRoman"/>
      <w:lvlText w:val="%9."/>
      <w:lvlJc w:val="right"/>
      <w:pPr>
        <w:ind w:left="4601" w:hanging="440"/>
      </w:pPr>
    </w:lvl>
  </w:abstractNum>
  <w:abstractNum w:abstractNumId="3">
    <w:nsid w:val="3C873A81"/>
    <w:multiLevelType w:val="multilevel"/>
    <w:tmpl w:val="3C873A81"/>
    <w:lvl w:ilvl="0" w:tentative="0">
      <w:start w:val="1"/>
      <w:numFmt w:val="lowerLetter"/>
      <w:lvlText w:val="%1."/>
      <w:lvlJc w:val="left"/>
      <w:pPr>
        <w:ind w:left="1001" w:hanging="360"/>
      </w:pPr>
      <w:rPr>
        <w:rFonts w:hint="default"/>
      </w:rPr>
    </w:lvl>
    <w:lvl w:ilvl="1" w:tentative="0">
      <w:start w:val="1"/>
      <w:numFmt w:val="lowerLetter"/>
      <w:lvlText w:val="%2)"/>
      <w:lvlJc w:val="left"/>
      <w:pPr>
        <w:ind w:left="1521" w:hanging="440"/>
      </w:pPr>
    </w:lvl>
    <w:lvl w:ilvl="2" w:tentative="0">
      <w:start w:val="1"/>
      <w:numFmt w:val="lowerRoman"/>
      <w:lvlText w:val="%3."/>
      <w:lvlJc w:val="right"/>
      <w:pPr>
        <w:ind w:left="1961" w:hanging="440"/>
      </w:pPr>
    </w:lvl>
    <w:lvl w:ilvl="3" w:tentative="0">
      <w:start w:val="1"/>
      <w:numFmt w:val="decimal"/>
      <w:lvlText w:val="%4."/>
      <w:lvlJc w:val="left"/>
      <w:pPr>
        <w:ind w:left="2401" w:hanging="440"/>
      </w:pPr>
    </w:lvl>
    <w:lvl w:ilvl="4" w:tentative="0">
      <w:start w:val="1"/>
      <w:numFmt w:val="lowerLetter"/>
      <w:lvlText w:val="%5)"/>
      <w:lvlJc w:val="left"/>
      <w:pPr>
        <w:ind w:left="2841" w:hanging="440"/>
      </w:pPr>
    </w:lvl>
    <w:lvl w:ilvl="5" w:tentative="0">
      <w:start w:val="1"/>
      <w:numFmt w:val="lowerRoman"/>
      <w:lvlText w:val="%6."/>
      <w:lvlJc w:val="right"/>
      <w:pPr>
        <w:ind w:left="3281" w:hanging="440"/>
      </w:pPr>
    </w:lvl>
    <w:lvl w:ilvl="6" w:tentative="0">
      <w:start w:val="1"/>
      <w:numFmt w:val="decimal"/>
      <w:lvlText w:val="%7."/>
      <w:lvlJc w:val="left"/>
      <w:pPr>
        <w:ind w:left="3721" w:hanging="440"/>
      </w:pPr>
    </w:lvl>
    <w:lvl w:ilvl="7" w:tentative="0">
      <w:start w:val="1"/>
      <w:numFmt w:val="lowerLetter"/>
      <w:lvlText w:val="%8)"/>
      <w:lvlJc w:val="left"/>
      <w:pPr>
        <w:ind w:left="4161" w:hanging="440"/>
      </w:pPr>
    </w:lvl>
    <w:lvl w:ilvl="8" w:tentative="0">
      <w:start w:val="1"/>
      <w:numFmt w:val="lowerRoman"/>
      <w:lvlText w:val="%9."/>
      <w:lvlJc w:val="right"/>
      <w:pPr>
        <w:ind w:left="4601" w:hanging="440"/>
      </w:pPr>
    </w:lvl>
  </w:abstractNum>
  <w:abstractNum w:abstractNumId="4">
    <w:nsid w:val="43C519E2"/>
    <w:multiLevelType w:val="multilevel"/>
    <w:tmpl w:val="43C519E2"/>
    <w:lvl w:ilvl="0" w:tentative="0">
      <w:start w:val="1"/>
      <w:numFmt w:val="lowerLetter"/>
      <w:lvlText w:val="%1."/>
      <w:lvlJc w:val="left"/>
      <w:pPr>
        <w:ind w:left="1001" w:hanging="360"/>
      </w:pPr>
      <w:rPr>
        <w:rFonts w:hint="default"/>
      </w:rPr>
    </w:lvl>
    <w:lvl w:ilvl="1" w:tentative="0">
      <w:start w:val="1"/>
      <w:numFmt w:val="lowerLetter"/>
      <w:lvlText w:val="%2)"/>
      <w:lvlJc w:val="left"/>
      <w:pPr>
        <w:ind w:left="1521" w:hanging="440"/>
      </w:pPr>
    </w:lvl>
    <w:lvl w:ilvl="2" w:tentative="0">
      <w:start w:val="1"/>
      <w:numFmt w:val="lowerRoman"/>
      <w:lvlText w:val="%3."/>
      <w:lvlJc w:val="right"/>
      <w:pPr>
        <w:ind w:left="1961" w:hanging="440"/>
      </w:pPr>
    </w:lvl>
    <w:lvl w:ilvl="3" w:tentative="0">
      <w:start w:val="1"/>
      <w:numFmt w:val="decimal"/>
      <w:lvlText w:val="%4."/>
      <w:lvlJc w:val="left"/>
      <w:pPr>
        <w:ind w:left="2401" w:hanging="440"/>
      </w:pPr>
    </w:lvl>
    <w:lvl w:ilvl="4" w:tentative="0">
      <w:start w:val="1"/>
      <w:numFmt w:val="lowerLetter"/>
      <w:lvlText w:val="%5)"/>
      <w:lvlJc w:val="left"/>
      <w:pPr>
        <w:ind w:left="2841" w:hanging="440"/>
      </w:pPr>
    </w:lvl>
    <w:lvl w:ilvl="5" w:tentative="0">
      <w:start w:val="1"/>
      <w:numFmt w:val="lowerRoman"/>
      <w:lvlText w:val="%6."/>
      <w:lvlJc w:val="right"/>
      <w:pPr>
        <w:ind w:left="3281" w:hanging="440"/>
      </w:pPr>
    </w:lvl>
    <w:lvl w:ilvl="6" w:tentative="0">
      <w:start w:val="1"/>
      <w:numFmt w:val="decimal"/>
      <w:lvlText w:val="%7."/>
      <w:lvlJc w:val="left"/>
      <w:pPr>
        <w:ind w:left="3721" w:hanging="440"/>
      </w:pPr>
    </w:lvl>
    <w:lvl w:ilvl="7" w:tentative="0">
      <w:start w:val="1"/>
      <w:numFmt w:val="lowerLetter"/>
      <w:lvlText w:val="%8)"/>
      <w:lvlJc w:val="left"/>
      <w:pPr>
        <w:ind w:left="4161" w:hanging="440"/>
      </w:pPr>
    </w:lvl>
    <w:lvl w:ilvl="8" w:tentative="0">
      <w:start w:val="1"/>
      <w:numFmt w:val="lowerRoman"/>
      <w:lvlText w:val="%9."/>
      <w:lvlJc w:val="right"/>
      <w:pPr>
        <w:ind w:left="4601" w:hanging="440"/>
      </w:pPr>
    </w:lvl>
  </w:abstractNum>
  <w:abstractNum w:abstractNumId="5">
    <w:nsid w:val="44C0464C"/>
    <w:multiLevelType w:val="multilevel"/>
    <w:tmpl w:val="44C0464C"/>
    <w:lvl w:ilvl="0" w:tentative="0">
      <w:start w:val="1"/>
      <w:numFmt w:val="decimal"/>
      <w:lvlText w:val="%1．"/>
      <w:lvlJc w:val="left"/>
      <w:pPr>
        <w:ind w:left="1000" w:hanging="440"/>
      </w:pPr>
      <w:rPr>
        <w:rFonts w:hint="default"/>
        <w:strike w:val="0"/>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6">
    <w:nsid w:val="44C50F90"/>
    <w:multiLevelType w:val="multilevel"/>
    <w:tmpl w:val="44C50F90"/>
    <w:lvl w:ilvl="0" w:tentative="0">
      <w:start w:val="1"/>
      <w:numFmt w:val="lowerLetter"/>
      <w:pStyle w:val="36"/>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47F969FD"/>
    <w:multiLevelType w:val="multilevel"/>
    <w:tmpl w:val="47F969FD"/>
    <w:lvl w:ilvl="0" w:tentative="0">
      <w:start w:val="1"/>
      <w:numFmt w:val="decimal"/>
      <w:lvlText w:val="(%1)"/>
      <w:lvlJc w:val="left"/>
      <w:pPr>
        <w:ind w:left="1149" w:hanging="440"/>
      </w:pPr>
      <w:rPr>
        <w:rFonts w:hint="default"/>
      </w:rPr>
    </w:lvl>
    <w:lvl w:ilvl="1" w:tentative="0">
      <w:start w:val="1"/>
      <w:numFmt w:val="lowerLetter"/>
      <w:lvlText w:val="%2)"/>
      <w:lvlJc w:val="left"/>
      <w:pPr>
        <w:ind w:left="1589" w:hanging="440"/>
      </w:pPr>
    </w:lvl>
    <w:lvl w:ilvl="2" w:tentative="0">
      <w:start w:val="1"/>
      <w:numFmt w:val="lowerRoman"/>
      <w:lvlText w:val="%3."/>
      <w:lvlJc w:val="right"/>
      <w:pPr>
        <w:ind w:left="2029" w:hanging="440"/>
      </w:pPr>
    </w:lvl>
    <w:lvl w:ilvl="3" w:tentative="0">
      <w:start w:val="1"/>
      <w:numFmt w:val="decimal"/>
      <w:lvlText w:val="%4."/>
      <w:lvlJc w:val="left"/>
      <w:pPr>
        <w:ind w:left="2469" w:hanging="440"/>
      </w:pPr>
    </w:lvl>
    <w:lvl w:ilvl="4" w:tentative="0">
      <w:start w:val="1"/>
      <w:numFmt w:val="lowerLetter"/>
      <w:lvlText w:val="%5)"/>
      <w:lvlJc w:val="left"/>
      <w:pPr>
        <w:ind w:left="2909" w:hanging="440"/>
      </w:pPr>
    </w:lvl>
    <w:lvl w:ilvl="5" w:tentative="0">
      <w:start w:val="1"/>
      <w:numFmt w:val="lowerRoman"/>
      <w:lvlText w:val="%6."/>
      <w:lvlJc w:val="right"/>
      <w:pPr>
        <w:ind w:left="3349" w:hanging="440"/>
      </w:pPr>
    </w:lvl>
    <w:lvl w:ilvl="6" w:tentative="0">
      <w:start w:val="1"/>
      <w:numFmt w:val="decimal"/>
      <w:lvlText w:val="%7."/>
      <w:lvlJc w:val="left"/>
      <w:pPr>
        <w:ind w:left="3789" w:hanging="440"/>
      </w:pPr>
    </w:lvl>
    <w:lvl w:ilvl="7" w:tentative="0">
      <w:start w:val="1"/>
      <w:numFmt w:val="lowerLetter"/>
      <w:lvlText w:val="%8)"/>
      <w:lvlJc w:val="left"/>
      <w:pPr>
        <w:ind w:left="4229" w:hanging="440"/>
      </w:pPr>
    </w:lvl>
    <w:lvl w:ilvl="8" w:tentative="0">
      <w:start w:val="1"/>
      <w:numFmt w:val="lowerRoman"/>
      <w:lvlText w:val="%9."/>
      <w:lvlJc w:val="right"/>
      <w:pPr>
        <w:ind w:left="4669" w:hanging="440"/>
      </w:pPr>
    </w:lvl>
  </w:abstractNum>
  <w:abstractNum w:abstractNumId="8">
    <w:nsid w:val="4C9839E3"/>
    <w:multiLevelType w:val="multilevel"/>
    <w:tmpl w:val="4C9839E3"/>
    <w:lvl w:ilvl="0" w:tentative="0">
      <w:start w:val="1"/>
      <w:numFmt w:val="japaneseCounting"/>
      <w:lvlText w:val="%1、"/>
      <w:lvlJc w:val="left"/>
      <w:pPr>
        <w:ind w:left="1360" w:hanging="720"/>
      </w:pPr>
      <w:rPr>
        <w:rFonts w:hint="default"/>
      </w:rPr>
    </w:lvl>
    <w:lvl w:ilvl="1" w:tentative="0">
      <w:start w:val="1"/>
      <w:numFmt w:val="decimal"/>
      <w:lvlText w:val="（%2）"/>
      <w:lvlJc w:val="left"/>
      <w:pPr>
        <w:ind w:left="1780" w:hanging="720"/>
      </w:pPr>
      <w:rPr>
        <w:rFonts w:hint="default"/>
      </w:rPr>
    </w:lvl>
    <w:lvl w:ilvl="2" w:tentative="0">
      <w:start w:val="1"/>
      <w:numFmt w:val="decimal"/>
      <w:lvlText w:val="(%3)"/>
      <w:lvlJc w:val="left"/>
      <w:pPr>
        <w:ind w:left="1920" w:hanging="440"/>
      </w:pPr>
      <w:rPr>
        <w:rFonts w:hint="default" w:ascii="宋体" w:hAnsi="宋体" w:cs="宋体"/>
      </w:rPr>
    </w:lvl>
    <w:lvl w:ilvl="3" w:tentative="0">
      <w:start w:val="1"/>
      <w:numFmt w:val="decimal"/>
      <w:lvlText w:val="%4."/>
      <w:lvlJc w:val="left"/>
      <w:pPr>
        <w:ind w:left="2260" w:hanging="360"/>
      </w:pPr>
      <w:rPr>
        <w:rFonts w:hint="default"/>
      </w:r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5A356DDB"/>
    <w:multiLevelType w:val="singleLevel"/>
    <w:tmpl w:val="5A356DDB"/>
    <w:lvl w:ilvl="0" w:tentative="0">
      <w:start w:val="1"/>
      <w:numFmt w:val="decimal"/>
      <w:lvlText w:val="(%1)"/>
      <w:lvlJc w:val="left"/>
      <w:pPr>
        <w:ind w:left="425" w:hanging="425"/>
      </w:pPr>
      <w:rPr>
        <w:rFonts w:hint="default"/>
      </w:rPr>
    </w:lvl>
  </w:abstractNum>
  <w:abstractNum w:abstractNumId="10">
    <w:nsid w:val="61B81468"/>
    <w:multiLevelType w:val="multilevel"/>
    <w:tmpl w:val="61B81468"/>
    <w:lvl w:ilvl="0" w:tentative="0">
      <w:start w:val="1"/>
      <w:numFmt w:val="japaneseCounting"/>
      <w:lvlText w:val="%1、"/>
      <w:lvlJc w:val="left"/>
      <w:pPr>
        <w:ind w:left="1360" w:hanging="720"/>
      </w:pPr>
      <w:rPr>
        <w:rFonts w:hint="default"/>
      </w:rPr>
    </w:lvl>
    <w:lvl w:ilvl="1" w:tentative="0">
      <w:start w:val="1"/>
      <w:numFmt w:val="decimal"/>
      <w:lvlText w:val="（%2）"/>
      <w:lvlJc w:val="left"/>
      <w:pPr>
        <w:ind w:left="1780" w:hanging="720"/>
      </w:pPr>
      <w:rPr>
        <w:rFonts w:hint="default"/>
      </w:rPr>
    </w:lvl>
    <w:lvl w:ilvl="2" w:tentative="0">
      <w:start w:val="1"/>
      <w:numFmt w:val="decimal"/>
      <w:lvlText w:val="(%3)"/>
      <w:lvlJc w:val="left"/>
      <w:pPr>
        <w:ind w:left="1920" w:hanging="440"/>
      </w:pPr>
      <w:rPr>
        <w:rFonts w:hint="default" w:ascii="宋体" w:hAnsi="宋体" w:cs="宋体"/>
      </w:rPr>
    </w:lvl>
    <w:lvl w:ilvl="3" w:tentative="0">
      <w:start w:val="1"/>
      <w:numFmt w:val="decimal"/>
      <w:lvlText w:val="%4."/>
      <w:lvlJc w:val="left"/>
      <w:pPr>
        <w:ind w:left="2260" w:hanging="360"/>
      </w:pPr>
      <w:rPr>
        <w:rFonts w:hint="default"/>
      </w:r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6C7E6F4B"/>
    <w:multiLevelType w:val="multilevel"/>
    <w:tmpl w:val="6C7E6F4B"/>
    <w:lvl w:ilvl="0" w:tentative="0">
      <w:start w:val="1"/>
      <w:numFmt w:val="decimal"/>
      <w:lvlText w:val="%1．"/>
      <w:lvlJc w:val="left"/>
      <w:pPr>
        <w:ind w:left="1080" w:hanging="440"/>
      </w:pPr>
      <w:rPr>
        <w:rFonts w:hint="default"/>
        <w:strike w:val="0"/>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2">
    <w:nsid w:val="6CEA2025"/>
    <w:multiLevelType w:val="multilevel"/>
    <w:tmpl w:val="6CEA2025"/>
    <w:lvl w:ilvl="0" w:tentative="0">
      <w:start w:val="1"/>
      <w:numFmt w:val="none"/>
      <w:pStyle w:val="28"/>
      <w:suff w:val="nothing"/>
      <w:lvlText w:val="%1"/>
      <w:lvlJc w:val="left"/>
      <w:pPr>
        <w:ind w:left="0" w:firstLine="0"/>
      </w:pPr>
      <w:rPr>
        <w:rFonts w:hint="eastAsia"/>
      </w:rPr>
    </w:lvl>
    <w:lvl w:ilvl="1" w:tentative="0">
      <w:start w:val="1"/>
      <w:numFmt w:val="decimal"/>
      <w:pStyle w:val="26"/>
      <w:suff w:val="nothing"/>
      <w:lvlText w:val="%1%2　"/>
      <w:lvlJc w:val="left"/>
      <w:pPr>
        <w:ind w:left="0" w:firstLine="0"/>
      </w:pPr>
      <w:rPr>
        <w:rFonts w:hint="eastAsia" w:ascii="黑体" w:eastAsia="黑体"/>
        <w:b w:val="0"/>
        <w:i w:val="0"/>
        <w:sz w:val="21"/>
      </w:rPr>
    </w:lvl>
    <w:lvl w:ilvl="2" w:tentative="0">
      <w:start w:val="1"/>
      <w:numFmt w:val="decimal"/>
      <w:pStyle w:val="2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2"/>
      <w:suff w:val="nothing"/>
      <w:lvlText w:val="%1%2.%3.%4　"/>
      <w:lvlJc w:val="left"/>
      <w:pPr>
        <w:ind w:left="0" w:firstLine="0"/>
      </w:pPr>
      <w:rPr>
        <w:rFonts w:hint="eastAsia" w:ascii="黑体" w:eastAsia="黑体"/>
        <w:b w:val="0"/>
        <w:i w:val="0"/>
        <w:sz w:val="21"/>
      </w:rPr>
    </w:lvl>
    <w:lvl w:ilvl="4" w:tentative="0">
      <w:start w:val="1"/>
      <w:numFmt w:val="decimal"/>
      <w:pStyle w:val="23"/>
      <w:suff w:val="nothing"/>
      <w:lvlText w:val="%1%2.%3.%4.%5　"/>
      <w:lvlJc w:val="left"/>
      <w:pPr>
        <w:ind w:left="709" w:firstLine="0"/>
      </w:pPr>
      <w:rPr>
        <w:rFonts w:hint="eastAsia" w:ascii="黑体" w:eastAsia="黑体"/>
        <w:b w:val="0"/>
        <w:i w:val="0"/>
        <w:sz w:val="21"/>
      </w:rPr>
    </w:lvl>
    <w:lvl w:ilvl="5" w:tentative="0">
      <w:start w:val="1"/>
      <w:numFmt w:val="decimal"/>
      <w:pStyle w:val="24"/>
      <w:suff w:val="nothing"/>
      <w:lvlText w:val="%1%2.%3.%4.%5.%6　"/>
      <w:lvlJc w:val="left"/>
      <w:pPr>
        <w:ind w:left="0" w:firstLine="0"/>
      </w:pPr>
      <w:rPr>
        <w:rFonts w:hint="eastAsia" w:ascii="黑体" w:eastAsia="黑体"/>
        <w:b w:val="0"/>
        <w:i w:val="0"/>
        <w:sz w:val="21"/>
      </w:rPr>
    </w:lvl>
    <w:lvl w:ilvl="6" w:tentative="0">
      <w:start w:val="1"/>
      <w:numFmt w:val="decimal"/>
      <w:pStyle w:val="2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73AA11E8"/>
    <w:multiLevelType w:val="singleLevel"/>
    <w:tmpl w:val="73AA11E8"/>
    <w:lvl w:ilvl="0" w:tentative="0">
      <w:start w:val="1"/>
      <w:numFmt w:val="chineseCounting"/>
      <w:suff w:val="nothing"/>
      <w:lvlText w:val="（%1）"/>
      <w:lvlJc w:val="left"/>
      <w:pPr>
        <w:ind w:left="0" w:firstLine="420"/>
      </w:pPr>
      <w:rPr>
        <w:rFonts w:hint="eastAsia"/>
      </w:rPr>
    </w:lvl>
  </w:abstractNum>
  <w:abstractNum w:abstractNumId="14">
    <w:nsid w:val="78356829"/>
    <w:multiLevelType w:val="multilevel"/>
    <w:tmpl w:val="78356829"/>
    <w:lvl w:ilvl="0" w:tentative="0">
      <w:start w:val="1"/>
      <w:numFmt w:val="decimal"/>
      <w:lvlText w:val="%1．"/>
      <w:lvlJc w:val="left"/>
      <w:pPr>
        <w:ind w:left="1000" w:hanging="440"/>
      </w:pPr>
      <w:rPr>
        <w:rFonts w:hint="default"/>
        <w:strike w:val="0"/>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12"/>
  </w:num>
  <w:num w:numId="2">
    <w:abstractNumId w:val="6"/>
  </w:num>
  <w:num w:numId="3">
    <w:abstractNumId w:val="13"/>
  </w:num>
  <w:num w:numId="4">
    <w:abstractNumId w:val="14"/>
  </w:num>
  <w:num w:numId="5">
    <w:abstractNumId w:val="1"/>
  </w:num>
  <w:num w:numId="6">
    <w:abstractNumId w:val="11"/>
  </w:num>
  <w:num w:numId="7">
    <w:abstractNumId w:val="9"/>
  </w:num>
  <w:num w:numId="8">
    <w:abstractNumId w:val="0"/>
  </w:num>
  <w:num w:numId="9">
    <w:abstractNumId w:val="5"/>
  </w:num>
  <w:num w:numId="10">
    <w:abstractNumId w:val="7"/>
  </w:num>
  <w:num w:numId="11">
    <w:abstractNumId w:val="3"/>
  </w:num>
  <w:num w:numId="12">
    <w:abstractNumId w:val="10"/>
  </w:num>
  <w:num w:numId="13">
    <w:abstractNumId w:val="2"/>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wOWYwOGU5YzJmMzIxY2E4NGJiNWE1OWY2NDhhYzUifQ=="/>
  </w:docVars>
  <w:rsids>
    <w:rsidRoot w:val="00594398"/>
    <w:rsid w:val="000019E0"/>
    <w:rsid w:val="000049D2"/>
    <w:rsid w:val="00004C14"/>
    <w:rsid w:val="000070B3"/>
    <w:rsid w:val="00015A12"/>
    <w:rsid w:val="00023C37"/>
    <w:rsid w:val="000245F1"/>
    <w:rsid w:val="0003083F"/>
    <w:rsid w:val="0005145B"/>
    <w:rsid w:val="00052ADC"/>
    <w:rsid w:val="00056225"/>
    <w:rsid w:val="00060B85"/>
    <w:rsid w:val="0006528F"/>
    <w:rsid w:val="000959BB"/>
    <w:rsid w:val="000A10C9"/>
    <w:rsid w:val="000B2622"/>
    <w:rsid w:val="000C0FBC"/>
    <w:rsid w:val="000C4A98"/>
    <w:rsid w:val="000C7004"/>
    <w:rsid w:val="000C71AD"/>
    <w:rsid w:val="000D00B7"/>
    <w:rsid w:val="000D428D"/>
    <w:rsid w:val="000D508F"/>
    <w:rsid w:val="000D7714"/>
    <w:rsid w:val="000E18C3"/>
    <w:rsid w:val="000F67BF"/>
    <w:rsid w:val="000F71BA"/>
    <w:rsid w:val="000F743F"/>
    <w:rsid w:val="0010235C"/>
    <w:rsid w:val="001049F5"/>
    <w:rsid w:val="00111D74"/>
    <w:rsid w:val="001153E2"/>
    <w:rsid w:val="001211E6"/>
    <w:rsid w:val="001241BF"/>
    <w:rsid w:val="00125313"/>
    <w:rsid w:val="00126159"/>
    <w:rsid w:val="00130EE2"/>
    <w:rsid w:val="00132E82"/>
    <w:rsid w:val="00132FD1"/>
    <w:rsid w:val="00137722"/>
    <w:rsid w:val="001424AE"/>
    <w:rsid w:val="00142A74"/>
    <w:rsid w:val="001431C7"/>
    <w:rsid w:val="001451C7"/>
    <w:rsid w:val="001504C9"/>
    <w:rsid w:val="00150C22"/>
    <w:rsid w:val="001638CF"/>
    <w:rsid w:val="00170331"/>
    <w:rsid w:val="0017062D"/>
    <w:rsid w:val="00172064"/>
    <w:rsid w:val="00172556"/>
    <w:rsid w:val="0017314C"/>
    <w:rsid w:val="001771CB"/>
    <w:rsid w:val="0018559F"/>
    <w:rsid w:val="0018768E"/>
    <w:rsid w:val="00190C0B"/>
    <w:rsid w:val="00197A23"/>
    <w:rsid w:val="00197AE1"/>
    <w:rsid w:val="001A14D9"/>
    <w:rsid w:val="001A1836"/>
    <w:rsid w:val="001A3474"/>
    <w:rsid w:val="001A4D60"/>
    <w:rsid w:val="001A5437"/>
    <w:rsid w:val="001C0BC8"/>
    <w:rsid w:val="001C13ED"/>
    <w:rsid w:val="001C3C78"/>
    <w:rsid w:val="001C4E68"/>
    <w:rsid w:val="001D093C"/>
    <w:rsid w:val="001D216D"/>
    <w:rsid w:val="001D3B09"/>
    <w:rsid w:val="001D6898"/>
    <w:rsid w:val="001D6FC4"/>
    <w:rsid w:val="001E39F0"/>
    <w:rsid w:val="001E59E1"/>
    <w:rsid w:val="001F2F25"/>
    <w:rsid w:val="001F30FC"/>
    <w:rsid w:val="001F5A06"/>
    <w:rsid w:val="00201278"/>
    <w:rsid w:val="002012B0"/>
    <w:rsid w:val="0020227D"/>
    <w:rsid w:val="002037D2"/>
    <w:rsid w:val="00211A72"/>
    <w:rsid w:val="0021392F"/>
    <w:rsid w:val="002145DD"/>
    <w:rsid w:val="002229BC"/>
    <w:rsid w:val="00226CDE"/>
    <w:rsid w:val="0022740A"/>
    <w:rsid w:val="002310A9"/>
    <w:rsid w:val="00231B60"/>
    <w:rsid w:val="00237BCD"/>
    <w:rsid w:val="00243789"/>
    <w:rsid w:val="00246A8E"/>
    <w:rsid w:val="00253649"/>
    <w:rsid w:val="00260D30"/>
    <w:rsid w:val="002615B8"/>
    <w:rsid w:val="00265074"/>
    <w:rsid w:val="00270C6A"/>
    <w:rsid w:val="00282683"/>
    <w:rsid w:val="002830FE"/>
    <w:rsid w:val="0028418F"/>
    <w:rsid w:val="00286C11"/>
    <w:rsid w:val="002924C8"/>
    <w:rsid w:val="00294AEC"/>
    <w:rsid w:val="002957DE"/>
    <w:rsid w:val="002B7B36"/>
    <w:rsid w:val="002C0347"/>
    <w:rsid w:val="002C2AEA"/>
    <w:rsid w:val="002C4746"/>
    <w:rsid w:val="002C5DFB"/>
    <w:rsid w:val="002D0D84"/>
    <w:rsid w:val="002D13EE"/>
    <w:rsid w:val="002D62F4"/>
    <w:rsid w:val="002E6645"/>
    <w:rsid w:val="002E7E90"/>
    <w:rsid w:val="002F0F5A"/>
    <w:rsid w:val="002F4FC8"/>
    <w:rsid w:val="002F53F1"/>
    <w:rsid w:val="00303C71"/>
    <w:rsid w:val="00310C9B"/>
    <w:rsid w:val="00312BCC"/>
    <w:rsid w:val="00314A02"/>
    <w:rsid w:val="003152D8"/>
    <w:rsid w:val="003218AD"/>
    <w:rsid w:val="00324308"/>
    <w:rsid w:val="003321D1"/>
    <w:rsid w:val="00340754"/>
    <w:rsid w:val="0034675A"/>
    <w:rsid w:val="0034714A"/>
    <w:rsid w:val="003505F6"/>
    <w:rsid w:val="0035343D"/>
    <w:rsid w:val="003559F8"/>
    <w:rsid w:val="00363B8A"/>
    <w:rsid w:val="003664EA"/>
    <w:rsid w:val="00381BDC"/>
    <w:rsid w:val="00387B42"/>
    <w:rsid w:val="00392E2C"/>
    <w:rsid w:val="0039439A"/>
    <w:rsid w:val="00396AF1"/>
    <w:rsid w:val="003A0872"/>
    <w:rsid w:val="003A3958"/>
    <w:rsid w:val="003A41E2"/>
    <w:rsid w:val="003A686F"/>
    <w:rsid w:val="003B2B26"/>
    <w:rsid w:val="003D0263"/>
    <w:rsid w:val="003D1AAA"/>
    <w:rsid w:val="003E145E"/>
    <w:rsid w:val="003E5CB0"/>
    <w:rsid w:val="003F4523"/>
    <w:rsid w:val="003F483F"/>
    <w:rsid w:val="003F7505"/>
    <w:rsid w:val="00400F9D"/>
    <w:rsid w:val="00401222"/>
    <w:rsid w:val="00404DC0"/>
    <w:rsid w:val="00406EDE"/>
    <w:rsid w:val="0040762D"/>
    <w:rsid w:val="0041418B"/>
    <w:rsid w:val="00414C7E"/>
    <w:rsid w:val="00415C58"/>
    <w:rsid w:val="004246B1"/>
    <w:rsid w:val="00427EFF"/>
    <w:rsid w:val="00446E4D"/>
    <w:rsid w:val="00457FF7"/>
    <w:rsid w:val="0046565D"/>
    <w:rsid w:val="004905EB"/>
    <w:rsid w:val="00495A1F"/>
    <w:rsid w:val="004A039C"/>
    <w:rsid w:val="004A22BA"/>
    <w:rsid w:val="004A2306"/>
    <w:rsid w:val="004A492C"/>
    <w:rsid w:val="004C2335"/>
    <w:rsid w:val="004C4F83"/>
    <w:rsid w:val="004D2449"/>
    <w:rsid w:val="00502E63"/>
    <w:rsid w:val="00504E24"/>
    <w:rsid w:val="00506DEA"/>
    <w:rsid w:val="005125C6"/>
    <w:rsid w:val="005147BF"/>
    <w:rsid w:val="00514E30"/>
    <w:rsid w:val="00520230"/>
    <w:rsid w:val="00520882"/>
    <w:rsid w:val="00524641"/>
    <w:rsid w:val="00530836"/>
    <w:rsid w:val="00531B1E"/>
    <w:rsid w:val="00536517"/>
    <w:rsid w:val="005452AD"/>
    <w:rsid w:val="00546427"/>
    <w:rsid w:val="00546820"/>
    <w:rsid w:val="00553A70"/>
    <w:rsid w:val="005568EC"/>
    <w:rsid w:val="00563EF1"/>
    <w:rsid w:val="00566653"/>
    <w:rsid w:val="00570096"/>
    <w:rsid w:val="00571928"/>
    <w:rsid w:val="0057471A"/>
    <w:rsid w:val="005755F5"/>
    <w:rsid w:val="00577BEE"/>
    <w:rsid w:val="00581683"/>
    <w:rsid w:val="0058695E"/>
    <w:rsid w:val="00594398"/>
    <w:rsid w:val="00596B14"/>
    <w:rsid w:val="005A698C"/>
    <w:rsid w:val="005B0F90"/>
    <w:rsid w:val="005B30D4"/>
    <w:rsid w:val="005B5743"/>
    <w:rsid w:val="005B6C94"/>
    <w:rsid w:val="005C10F5"/>
    <w:rsid w:val="005C114B"/>
    <w:rsid w:val="005C15FB"/>
    <w:rsid w:val="005C22F8"/>
    <w:rsid w:val="005C4B5D"/>
    <w:rsid w:val="005D00A4"/>
    <w:rsid w:val="005E1B32"/>
    <w:rsid w:val="005E6996"/>
    <w:rsid w:val="005F215A"/>
    <w:rsid w:val="005F4BB6"/>
    <w:rsid w:val="005F6AAC"/>
    <w:rsid w:val="00610DCF"/>
    <w:rsid w:val="006118AA"/>
    <w:rsid w:val="0061386F"/>
    <w:rsid w:val="0061672E"/>
    <w:rsid w:val="00623AB8"/>
    <w:rsid w:val="00626531"/>
    <w:rsid w:val="00626887"/>
    <w:rsid w:val="00630DCF"/>
    <w:rsid w:val="006377CD"/>
    <w:rsid w:val="0064394B"/>
    <w:rsid w:val="0064409F"/>
    <w:rsid w:val="00644980"/>
    <w:rsid w:val="0064521A"/>
    <w:rsid w:val="00650082"/>
    <w:rsid w:val="0066048E"/>
    <w:rsid w:val="0067018B"/>
    <w:rsid w:val="00673F5A"/>
    <w:rsid w:val="006743A1"/>
    <w:rsid w:val="00681CD8"/>
    <w:rsid w:val="00682CE3"/>
    <w:rsid w:val="006832F6"/>
    <w:rsid w:val="00686C45"/>
    <w:rsid w:val="00691479"/>
    <w:rsid w:val="006A1206"/>
    <w:rsid w:val="006B25B1"/>
    <w:rsid w:val="006B5CC5"/>
    <w:rsid w:val="006B6C1C"/>
    <w:rsid w:val="006C03E8"/>
    <w:rsid w:val="006C2E4B"/>
    <w:rsid w:val="006C53B6"/>
    <w:rsid w:val="006C5E5C"/>
    <w:rsid w:val="006C63CF"/>
    <w:rsid w:val="006D6C36"/>
    <w:rsid w:val="006E1858"/>
    <w:rsid w:val="006E2DB2"/>
    <w:rsid w:val="006F4E56"/>
    <w:rsid w:val="006F7555"/>
    <w:rsid w:val="006F78F9"/>
    <w:rsid w:val="007144CF"/>
    <w:rsid w:val="007148F0"/>
    <w:rsid w:val="007202B7"/>
    <w:rsid w:val="00720AE4"/>
    <w:rsid w:val="00724426"/>
    <w:rsid w:val="00726BE4"/>
    <w:rsid w:val="00732B54"/>
    <w:rsid w:val="00735A36"/>
    <w:rsid w:val="00736DF3"/>
    <w:rsid w:val="00752013"/>
    <w:rsid w:val="0075209A"/>
    <w:rsid w:val="007520C4"/>
    <w:rsid w:val="00752DDC"/>
    <w:rsid w:val="007633B7"/>
    <w:rsid w:val="00763C6A"/>
    <w:rsid w:val="00780EDB"/>
    <w:rsid w:val="0078314C"/>
    <w:rsid w:val="007834E9"/>
    <w:rsid w:val="007907E2"/>
    <w:rsid w:val="00791860"/>
    <w:rsid w:val="007951C8"/>
    <w:rsid w:val="007A376B"/>
    <w:rsid w:val="007A4D1E"/>
    <w:rsid w:val="007B46EE"/>
    <w:rsid w:val="007B7DF6"/>
    <w:rsid w:val="007C487B"/>
    <w:rsid w:val="007C6E89"/>
    <w:rsid w:val="007D1266"/>
    <w:rsid w:val="007D453E"/>
    <w:rsid w:val="007D6ABB"/>
    <w:rsid w:val="007D7C8D"/>
    <w:rsid w:val="007E3A51"/>
    <w:rsid w:val="007E78D6"/>
    <w:rsid w:val="00802403"/>
    <w:rsid w:val="00803C0A"/>
    <w:rsid w:val="00805361"/>
    <w:rsid w:val="00805E19"/>
    <w:rsid w:val="008137AF"/>
    <w:rsid w:val="008167F4"/>
    <w:rsid w:val="00820389"/>
    <w:rsid w:val="00821F45"/>
    <w:rsid w:val="00823EAD"/>
    <w:rsid w:val="0082494D"/>
    <w:rsid w:val="008312BF"/>
    <w:rsid w:val="0084005C"/>
    <w:rsid w:val="0084639B"/>
    <w:rsid w:val="00847324"/>
    <w:rsid w:val="0086178F"/>
    <w:rsid w:val="00862A70"/>
    <w:rsid w:val="00866AA9"/>
    <w:rsid w:val="008736F2"/>
    <w:rsid w:val="008748A8"/>
    <w:rsid w:val="008808AF"/>
    <w:rsid w:val="00882750"/>
    <w:rsid w:val="00891E34"/>
    <w:rsid w:val="0089303D"/>
    <w:rsid w:val="00895D8B"/>
    <w:rsid w:val="008A1E9E"/>
    <w:rsid w:val="008B4252"/>
    <w:rsid w:val="008B5C30"/>
    <w:rsid w:val="008B6CDD"/>
    <w:rsid w:val="008B7932"/>
    <w:rsid w:val="008C4463"/>
    <w:rsid w:val="008C73C0"/>
    <w:rsid w:val="008C7B03"/>
    <w:rsid w:val="008D0F3A"/>
    <w:rsid w:val="008F1B5B"/>
    <w:rsid w:val="009138EC"/>
    <w:rsid w:val="00934133"/>
    <w:rsid w:val="0093708A"/>
    <w:rsid w:val="00937DBC"/>
    <w:rsid w:val="00943DF0"/>
    <w:rsid w:val="00944C1F"/>
    <w:rsid w:val="0094593C"/>
    <w:rsid w:val="00946B22"/>
    <w:rsid w:val="00950A74"/>
    <w:rsid w:val="00952F87"/>
    <w:rsid w:val="00954003"/>
    <w:rsid w:val="00956E47"/>
    <w:rsid w:val="00957F35"/>
    <w:rsid w:val="00960170"/>
    <w:rsid w:val="00961616"/>
    <w:rsid w:val="0096495E"/>
    <w:rsid w:val="00966B44"/>
    <w:rsid w:val="00967D40"/>
    <w:rsid w:val="00970038"/>
    <w:rsid w:val="00977FFE"/>
    <w:rsid w:val="00980BB4"/>
    <w:rsid w:val="00982933"/>
    <w:rsid w:val="00983066"/>
    <w:rsid w:val="009844B2"/>
    <w:rsid w:val="009865E2"/>
    <w:rsid w:val="00991EFF"/>
    <w:rsid w:val="00996C19"/>
    <w:rsid w:val="009A41DC"/>
    <w:rsid w:val="009B689C"/>
    <w:rsid w:val="009C0998"/>
    <w:rsid w:val="009C2A71"/>
    <w:rsid w:val="009D12FD"/>
    <w:rsid w:val="009D3314"/>
    <w:rsid w:val="009D368E"/>
    <w:rsid w:val="009D45F6"/>
    <w:rsid w:val="009D5480"/>
    <w:rsid w:val="009E1DD3"/>
    <w:rsid w:val="009E30C5"/>
    <w:rsid w:val="009E7018"/>
    <w:rsid w:val="009F245A"/>
    <w:rsid w:val="009F5ECE"/>
    <w:rsid w:val="00A003EC"/>
    <w:rsid w:val="00A01AD0"/>
    <w:rsid w:val="00A067FE"/>
    <w:rsid w:val="00A47DCD"/>
    <w:rsid w:val="00A52013"/>
    <w:rsid w:val="00A53F5B"/>
    <w:rsid w:val="00A56D66"/>
    <w:rsid w:val="00A62D24"/>
    <w:rsid w:val="00A8007B"/>
    <w:rsid w:val="00A86C48"/>
    <w:rsid w:val="00A904F5"/>
    <w:rsid w:val="00A94CD2"/>
    <w:rsid w:val="00AA5AA6"/>
    <w:rsid w:val="00AA5E42"/>
    <w:rsid w:val="00AB7238"/>
    <w:rsid w:val="00AC2A31"/>
    <w:rsid w:val="00AC386D"/>
    <w:rsid w:val="00AC5BFB"/>
    <w:rsid w:val="00AC66DF"/>
    <w:rsid w:val="00AD717A"/>
    <w:rsid w:val="00AE2D36"/>
    <w:rsid w:val="00AE33C5"/>
    <w:rsid w:val="00AE4811"/>
    <w:rsid w:val="00AE61AB"/>
    <w:rsid w:val="00AE6CE3"/>
    <w:rsid w:val="00AF063A"/>
    <w:rsid w:val="00AF5B7F"/>
    <w:rsid w:val="00B04A5E"/>
    <w:rsid w:val="00B0532E"/>
    <w:rsid w:val="00B15B62"/>
    <w:rsid w:val="00B15F9F"/>
    <w:rsid w:val="00B26302"/>
    <w:rsid w:val="00B30125"/>
    <w:rsid w:val="00B3089A"/>
    <w:rsid w:val="00B34391"/>
    <w:rsid w:val="00B34AAF"/>
    <w:rsid w:val="00B45A8B"/>
    <w:rsid w:val="00B47567"/>
    <w:rsid w:val="00B52C0D"/>
    <w:rsid w:val="00B5493F"/>
    <w:rsid w:val="00B57EFD"/>
    <w:rsid w:val="00B660DC"/>
    <w:rsid w:val="00B731C2"/>
    <w:rsid w:val="00B859CE"/>
    <w:rsid w:val="00B90557"/>
    <w:rsid w:val="00B9150C"/>
    <w:rsid w:val="00B9237F"/>
    <w:rsid w:val="00BA5441"/>
    <w:rsid w:val="00BA6A7C"/>
    <w:rsid w:val="00BA7F88"/>
    <w:rsid w:val="00BB36E4"/>
    <w:rsid w:val="00BB3B07"/>
    <w:rsid w:val="00BB6425"/>
    <w:rsid w:val="00BB772A"/>
    <w:rsid w:val="00BC333C"/>
    <w:rsid w:val="00BD2137"/>
    <w:rsid w:val="00BD44A4"/>
    <w:rsid w:val="00BE2268"/>
    <w:rsid w:val="00C024D7"/>
    <w:rsid w:val="00C04746"/>
    <w:rsid w:val="00C05465"/>
    <w:rsid w:val="00C1356D"/>
    <w:rsid w:val="00C14A14"/>
    <w:rsid w:val="00C14BAF"/>
    <w:rsid w:val="00C150CF"/>
    <w:rsid w:val="00C1619C"/>
    <w:rsid w:val="00C24081"/>
    <w:rsid w:val="00C36BD4"/>
    <w:rsid w:val="00C44769"/>
    <w:rsid w:val="00C45BED"/>
    <w:rsid w:val="00C51C6D"/>
    <w:rsid w:val="00C540D4"/>
    <w:rsid w:val="00C57626"/>
    <w:rsid w:val="00C64383"/>
    <w:rsid w:val="00C87019"/>
    <w:rsid w:val="00C918F3"/>
    <w:rsid w:val="00C94ED5"/>
    <w:rsid w:val="00CA13D6"/>
    <w:rsid w:val="00CA31C6"/>
    <w:rsid w:val="00CA4F76"/>
    <w:rsid w:val="00CB0370"/>
    <w:rsid w:val="00CC6243"/>
    <w:rsid w:val="00CC6702"/>
    <w:rsid w:val="00CD09F0"/>
    <w:rsid w:val="00CD472B"/>
    <w:rsid w:val="00CD4B62"/>
    <w:rsid w:val="00CE1639"/>
    <w:rsid w:val="00CE7C83"/>
    <w:rsid w:val="00CF217C"/>
    <w:rsid w:val="00CF6FE9"/>
    <w:rsid w:val="00D0492D"/>
    <w:rsid w:val="00D05520"/>
    <w:rsid w:val="00D13161"/>
    <w:rsid w:val="00D1410C"/>
    <w:rsid w:val="00D14232"/>
    <w:rsid w:val="00D17837"/>
    <w:rsid w:val="00D306FE"/>
    <w:rsid w:val="00D32F81"/>
    <w:rsid w:val="00D35B13"/>
    <w:rsid w:val="00D35D32"/>
    <w:rsid w:val="00D3789C"/>
    <w:rsid w:val="00D37FBF"/>
    <w:rsid w:val="00D51872"/>
    <w:rsid w:val="00D7073F"/>
    <w:rsid w:val="00D739B2"/>
    <w:rsid w:val="00D7492E"/>
    <w:rsid w:val="00D81F29"/>
    <w:rsid w:val="00D83B25"/>
    <w:rsid w:val="00D85719"/>
    <w:rsid w:val="00D870A4"/>
    <w:rsid w:val="00D90E87"/>
    <w:rsid w:val="00D91103"/>
    <w:rsid w:val="00D9740E"/>
    <w:rsid w:val="00DA36E0"/>
    <w:rsid w:val="00DB1D88"/>
    <w:rsid w:val="00DC73C5"/>
    <w:rsid w:val="00DD0FA3"/>
    <w:rsid w:val="00DD494C"/>
    <w:rsid w:val="00DD5D5C"/>
    <w:rsid w:val="00DD7CDA"/>
    <w:rsid w:val="00DE121E"/>
    <w:rsid w:val="00DE16C6"/>
    <w:rsid w:val="00DE3B7C"/>
    <w:rsid w:val="00DE52D2"/>
    <w:rsid w:val="00DE7878"/>
    <w:rsid w:val="00DF0751"/>
    <w:rsid w:val="00DF34BD"/>
    <w:rsid w:val="00E10098"/>
    <w:rsid w:val="00E20D02"/>
    <w:rsid w:val="00E34A9B"/>
    <w:rsid w:val="00E35D8C"/>
    <w:rsid w:val="00E36AAF"/>
    <w:rsid w:val="00E40653"/>
    <w:rsid w:val="00E42035"/>
    <w:rsid w:val="00E423D5"/>
    <w:rsid w:val="00E468F8"/>
    <w:rsid w:val="00E52226"/>
    <w:rsid w:val="00E55BD4"/>
    <w:rsid w:val="00E6035F"/>
    <w:rsid w:val="00E60938"/>
    <w:rsid w:val="00E6568D"/>
    <w:rsid w:val="00E65CCF"/>
    <w:rsid w:val="00E6686A"/>
    <w:rsid w:val="00E7245B"/>
    <w:rsid w:val="00E82F49"/>
    <w:rsid w:val="00E86290"/>
    <w:rsid w:val="00E966A5"/>
    <w:rsid w:val="00E976BC"/>
    <w:rsid w:val="00EA5F59"/>
    <w:rsid w:val="00EA7215"/>
    <w:rsid w:val="00EB2BA2"/>
    <w:rsid w:val="00EB7B45"/>
    <w:rsid w:val="00EC324E"/>
    <w:rsid w:val="00ED349A"/>
    <w:rsid w:val="00ED3C2B"/>
    <w:rsid w:val="00EE3A4D"/>
    <w:rsid w:val="00EE530F"/>
    <w:rsid w:val="00EE76B5"/>
    <w:rsid w:val="00EF31CE"/>
    <w:rsid w:val="00EF61FC"/>
    <w:rsid w:val="00EF70BA"/>
    <w:rsid w:val="00F00297"/>
    <w:rsid w:val="00F00ABA"/>
    <w:rsid w:val="00F02DD1"/>
    <w:rsid w:val="00F214EC"/>
    <w:rsid w:val="00F33D8C"/>
    <w:rsid w:val="00F34228"/>
    <w:rsid w:val="00F35CC1"/>
    <w:rsid w:val="00F4234F"/>
    <w:rsid w:val="00F42EFD"/>
    <w:rsid w:val="00F4486B"/>
    <w:rsid w:val="00F522CE"/>
    <w:rsid w:val="00F52E7D"/>
    <w:rsid w:val="00F53E5E"/>
    <w:rsid w:val="00F56CE6"/>
    <w:rsid w:val="00F57DD9"/>
    <w:rsid w:val="00F610BA"/>
    <w:rsid w:val="00F650BD"/>
    <w:rsid w:val="00F71296"/>
    <w:rsid w:val="00F73C8B"/>
    <w:rsid w:val="00F74DDB"/>
    <w:rsid w:val="00F95B98"/>
    <w:rsid w:val="00FA2218"/>
    <w:rsid w:val="00FA4B81"/>
    <w:rsid w:val="00FA67B2"/>
    <w:rsid w:val="00FA75F3"/>
    <w:rsid w:val="00FB3136"/>
    <w:rsid w:val="00FC084F"/>
    <w:rsid w:val="00FD20A5"/>
    <w:rsid w:val="00FD6F80"/>
    <w:rsid w:val="00FE3B76"/>
    <w:rsid w:val="00FE44E2"/>
    <w:rsid w:val="00FE647B"/>
    <w:rsid w:val="00FF3DC3"/>
    <w:rsid w:val="01E8213F"/>
    <w:rsid w:val="03166C6D"/>
    <w:rsid w:val="0AF10769"/>
    <w:rsid w:val="0DB8738F"/>
    <w:rsid w:val="0E75036D"/>
    <w:rsid w:val="16E8702F"/>
    <w:rsid w:val="19FF79FC"/>
    <w:rsid w:val="233B7EB9"/>
    <w:rsid w:val="263416C2"/>
    <w:rsid w:val="31543C69"/>
    <w:rsid w:val="37436F56"/>
    <w:rsid w:val="3B804F1E"/>
    <w:rsid w:val="3BE02821"/>
    <w:rsid w:val="3C20513C"/>
    <w:rsid w:val="44EF4BFB"/>
    <w:rsid w:val="45E04E1F"/>
    <w:rsid w:val="4C482D87"/>
    <w:rsid w:val="53D56864"/>
    <w:rsid w:val="55D404EF"/>
    <w:rsid w:val="566C201F"/>
    <w:rsid w:val="68EB3277"/>
    <w:rsid w:val="7121653C"/>
    <w:rsid w:val="7487479C"/>
    <w:rsid w:val="786D178B"/>
    <w:rsid w:val="791F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ind w:firstLine="480"/>
    </w:pPr>
    <w:rPr>
      <w:rFonts w:eastAsia="仿宋_GB2312"/>
      <w:sz w:val="24"/>
    </w:rPr>
  </w:style>
  <w:style w:type="paragraph" w:styleId="4">
    <w:name w:val="Date"/>
    <w:basedOn w:val="1"/>
    <w:next w:val="1"/>
    <w:link w:val="17"/>
    <w:autoRedefine/>
    <w:qFormat/>
    <w:uiPriority w:val="0"/>
    <w:pPr>
      <w:ind w:left="100" w:leftChars="25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link w:val="35"/>
    <w:autoRedefine/>
    <w:qFormat/>
    <w:uiPriority w:val="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annotation reference"/>
    <w:basedOn w:val="11"/>
    <w:autoRedefine/>
    <w:qFormat/>
    <w:uiPriority w:val="0"/>
    <w:rPr>
      <w:sz w:val="21"/>
      <w:szCs w:val="21"/>
    </w:rPr>
  </w:style>
  <w:style w:type="character" w:customStyle="1" w:styleId="14">
    <w:name w:val="页眉 字符"/>
    <w:basedOn w:val="11"/>
    <w:link w:val="6"/>
    <w:autoRedefine/>
    <w:qFormat/>
    <w:uiPriority w:val="0"/>
    <w:rPr>
      <w:kern w:val="2"/>
      <w:sz w:val="18"/>
      <w:szCs w:val="18"/>
    </w:rPr>
  </w:style>
  <w:style w:type="paragraph" w:styleId="15">
    <w:name w:val="List Paragraph"/>
    <w:basedOn w:val="1"/>
    <w:autoRedefine/>
    <w:qFormat/>
    <w:uiPriority w:val="99"/>
    <w:pPr>
      <w:ind w:firstLine="420" w:firstLineChars="200"/>
    </w:pPr>
  </w:style>
  <w:style w:type="paragraph" w:customStyle="1" w:styleId="16">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日期 字符"/>
    <w:basedOn w:val="11"/>
    <w:link w:val="4"/>
    <w:autoRedefine/>
    <w:qFormat/>
    <w:uiPriority w:val="0"/>
    <w:rPr>
      <w:kern w:val="2"/>
      <w:sz w:val="21"/>
      <w:szCs w:val="22"/>
    </w:rPr>
  </w:style>
  <w:style w:type="paragraph" w:customStyle="1" w:styleId="18">
    <w:name w:val="段"/>
    <w:link w:val="1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9">
    <w:name w:val="段 Char"/>
    <w:link w:val="18"/>
    <w:qFormat/>
    <w:uiPriority w:val="0"/>
    <w:rPr>
      <w:rFonts w:ascii="宋体" w:hAnsi="Times New Roman" w:eastAsia="宋体" w:cs="Times New Roman"/>
      <w:sz w:val="21"/>
    </w:rPr>
  </w:style>
  <w:style w:type="paragraph" w:customStyle="1" w:styleId="20">
    <w:name w:val="标准文件_段"/>
    <w:link w:val="2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标准文件_段 Char"/>
    <w:link w:val="20"/>
    <w:autoRedefine/>
    <w:qFormat/>
    <w:uiPriority w:val="0"/>
    <w:rPr>
      <w:rFonts w:ascii="宋体" w:hAnsi="Times New Roman" w:eastAsia="宋体" w:cs="Times New Roman"/>
      <w:sz w:val="21"/>
    </w:rPr>
  </w:style>
  <w:style w:type="paragraph" w:customStyle="1" w:styleId="22">
    <w:name w:val="标准文件_二级条标题"/>
    <w:next w:val="20"/>
    <w:autoRedefine/>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3">
    <w:name w:val="标准文件_三级条标题"/>
    <w:basedOn w:val="22"/>
    <w:next w:val="20"/>
    <w:qFormat/>
    <w:uiPriority w:val="0"/>
    <w:pPr>
      <w:widowControl/>
      <w:numPr>
        <w:ilvl w:val="4"/>
      </w:numPr>
      <w:outlineLvl w:val="3"/>
    </w:pPr>
  </w:style>
  <w:style w:type="paragraph" w:customStyle="1" w:styleId="24">
    <w:name w:val="标准文件_四级条标题"/>
    <w:next w:val="1"/>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5">
    <w:name w:val="标准文件_五级条标题"/>
    <w:next w:val="1"/>
    <w:autoRedefine/>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6">
    <w:name w:val="标准文件_章标题"/>
    <w:next w:val="1"/>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7">
    <w:name w:val="标准文件_一级条标题"/>
    <w:basedOn w:val="26"/>
    <w:next w:val="1"/>
    <w:autoRedefine/>
    <w:qFormat/>
    <w:uiPriority w:val="0"/>
    <w:pPr>
      <w:numPr>
        <w:ilvl w:val="2"/>
      </w:numPr>
      <w:spacing w:before="50" w:beforeLines="50" w:after="50" w:afterLines="50"/>
      <w:outlineLvl w:val="1"/>
    </w:pPr>
  </w:style>
  <w:style w:type="paragraph" w:customStyle="1" w:styleId="28">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9">
    <w:name w:val="标准文件_三级无标题"/>
    <w:basedOn w:val="23"/>
    <w:qFormat/>
    <w:uiPriority w:val="0"/>
    <w:pPr>
      <w:spacing w:before="0" w:beforeLines="0" w:after="0" w:afterLines="0"/>
      <w:outlineLvl w:val="9"/>
    </w:pPr>
    <w:rPr>
      <w:rFonts w:ascii="宋体" w:eastAsia="宋体"/>
    </w:rPr>
  </w:style>
  <w:style w:type="paragraph" w:customStyle="1" w:styleId="30">
    <w:name w:val="标准文件_二级无标题"/>
    <w:basedOn w:val="22"/>
    <w:qFormat/>
    <w:uiPriority w:val="0"/>
    <w:pPr>
      <w:numPr>
        <w:ilvl w:val="0"/>
        <w:numId w:val="0"/>
      </w:numPr>
      <w:spacing w:before="0" w:beforeLines="0" w:after="0" w:afterLines="0"/>
      <w:outlineLvl w:val="9"/>
    </w:pPr>
    <w:rPr>
      <w:rFonts w:ascii="宋体" w:eastAsia="宋体"/>
    </w:rPr>
  </w:style>
  <w:style w:type="paragraph" w:customStyle="1" w:styleId="31">
    <w:name w:val="标准文件_一级无标题"/>
    <w:basedOn w:val="27"/>
    <w:autoRedefine/>
    <w:qFormat/>
    <w:uiPriority w:val="0"/>
    <w:pPr>
      <w:numPr>
        <w:ilvl w:val="0"/>
        <w:numId w:val="0"/>
      </w:numPr>
      <w:spacing w:before="0" w:beforeLines="0" w:after="0" w:afterLines="0"/>
      <w:outlineLvl w:val="9"/>
    </w:pPr>
    <w:rPr>
      <w:rFonts w:ascii="宋体" w:eastAsia="宋体"/>
    </w:rPr>
  </w:style>
  <w:style w:type="paragraph" w:customStyle="1" w:styleId="32">
    <w:name w:val="正文文本首行缩进 21"/>
    <w:basedOn w:val="33"/>
    <w:qFormat/>
    <w:uiPriority w:val="0"/>
    <w:pPr>
      <w:spacing w:line="360" w:lineRule="auto"/>
    </w:pPr>
    <w:rPr>
      <w:sz w:val="24"/>
    </w:rPr>
  </w:style>
  <w:style w:type="paragraph" w:customStyle="1" w:styleId="33">
    <w:name w:val="正文文本缩进1"/>
    <w:basedOn w:val="1"/>
    <w:qFormat/>
    <w:uiPriority w:val="0"/>
    <w:pPr>
      <w:spacing w:line="150" w:lineRule="atLeast"/>
      <w:ind w:firstLine="420" w:firstLineChars="200"/>
      <w:textAlignment w:val="baseline"/>
    </w:pPr>
  </w:style>
  <w:style w:type="paragraph" w:customStyle="1" w:styleId="34">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5">
    <w:name w:val="标题 字符"/>
    <w:basedOn w:val="11"/>
    <w:link w:val="8"/>
    <w:autoRedefine/>
    <w:qFormat/>
    <w:uiPriority w:val="0"/>
    <w:rPr>
      <w:rFonts w:asciiTheme="majorHAnsi" w:hAnsiTheme="majorHAnsi" w:eastAsiaTheme="majorEastAsia" w:cstheme="majorBidi"/>
      <w:b/>
      <w:bCs/>
      <w:kern w:val="2"/>
      <w:sz w:val="32"/>
      <w:szCs w:val="32"/>
    </w:rPr>
  </w:style>
  <w:style w:type="paragraph" w:customStyle="1" w:styleId="36">
    <w:name w:val="标准文件_字母编号列项（一级）"/>
    <w:autoRedefine/>
    <w:qFormat/>
    <w:uiPriority w:val="0"/>
    <w:pPr>
      <w:numPr>
        <w:ilvl w:val="0"/>
        <w:numId w:val="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9632D-7D2B-46CF-A28E-061DECC13A78}">
  <ds:schemaRefs/>
</ds:datastoreItem>
</file>

<file path=docProps/app.xml><?xml version="1.0" encoding="utf-8"?>
<Properties xmlns="http://schemas.openxmlformats.org/officeDocument/2006/extended-properties" xmlns:vt="http://schemas.openxmlformats.org/officeDocument/2006/docPropsVTypes">
  <Template>Normal</Template>
  <Pages>22</Pages>
  <Words>11652</Words>
  <Characters>11882</Characters>
  <Lines>73</Lines>
  <Paragraphs>20</Paragraphs>
  <TotalTime>0</TotalTime>
  <ScaleCrop>false</ScaleCrop>
  <LinksUpToDate>false</LinksUpToDate>
  <CharactersWithSpaces>11919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2023-11-03T09:11:00Z</dcterms:created>
  <dc:creator>标准处</dc:creator>
  <cp:lastModifiedBy>于惊鸿</cp:lastModifiedBy>
  <cp:lastPrinted>2023-05-06T08:47:00Z</cp:lastPrinted>
  <dcterms:modified xsi:type="dcterms:W3CDTF">2024-09-25T05:02:40Z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0DAA4D4678D44EE3BE4C61FF2C9EB73D_13</vt:lpwstr>
  </property>
</Properties>
</file>