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3DA8C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E81725D">
            <w:pPr>
              <w:pStyle w:val="21"/>
              <w:framePr w:wrap="notBeside" w:vAnchor="page" w:hAnchor="page" w:x="1372" w:y="568"/>
              <w:tabs>
                <w:tab w:val="clear" w:pos="4153"/>
                <w:tab w:val="clear" w:pos="8306"/>
              </w:tabs>
              <w:spacing w:line="240" w:lineRule="auto"/>
              <w:jc w:val="left"/>
              <w:rPr>
                <w:rFonts w:hint="eastAsia" w:ascii="黑体" w:hAnsi="黑体" w:eastAsia="黑体"/>
                <w:color w:val="auto"/>
                <w:sz w:val="21"/>
                <w:szCs w:val="21"/>
              </w:rPr>
            </w:pPr>
            <w:r>
              <w:rPr>
                <w:rFonts w:ascii="Times New Roman" w:hAnsi="Times New Roman" w:eastAsia="黑体"/>
                <w:color w:val="auto"/>
                <w:sz w:val="21"/>
                <w:szCs w:val="21"/>
              </w:rPr>
              <w:t>ICS</w:t>
            </w:r>
            <w:r>
              <w:rPr>
                <w:rFonts w:ascii="黑体" w:hAnsi="黑体" w:eastAsia="黑体"/>
                <w:color w:val="auto"/>
                <w:sz w:val="21"/>
                <w:szCs w:val="21"/>
              </w:rPr>
              <w:t xml:space="preserve">  </w:t>
            </w:r>
          </w:p>
        </w:tc>
        <w:tc>
          <w:tcPr>
            <w:tcW w:w="8855" w:type="dxa"/>
          </w:tcPr>
          <w:p w14:paraId="575AFABF">
            <w:pPr>
              <w:pStyle w:val="21"/>
              <w:framePr w:wrap="notBeside" w:vAnchor="page" w:hAnchor="page" w:x="1372" w:y="568"/>
              <w:tabs>
                <w:tab w:val="clear" w:pos="4153"/>
                <w:tab w:val="clear" w:pos="8306"/>
              </w:tabs>
              <w:spacing w:line="240" w:lineRule="auto"/>
              <w:jc w:val="both"/>
              <w:rPr>
                <w:rFonts w:hint="eastAsia" w:ascii="黑体" w:hAnsi="黑体" w:eastAsia="黑体"/>
                <w:color w:val="auto"/>
                <w:sz w:val="21"/>
                <w:szCs w:val="21"/>
              </w:rPr>
            </w:pPr>
            <w:r>
              <w:rPr>
                <w:rFonts w:ascii="黑体" w:hAnsi="黑体" w:eastAsia="黑体"/>
                <w:color w:val="auto"/>
                <w:sz w:val="21"/>
                <w:szCs w:val="21"/>
              </w:rPr>
              <w:fldChar w:fldCharType="begin">
                <w:ffData>
                  <w:name w:val="ICS"/>
                  <w:enabled/>
                  <w:calcOnExit w:val="0"/>
                  <w:textInput>
                    <w:default w:val="点击此处添加ICS号"/>
                  </w:textInput>
                </w:ffData>
              </w:fldChar>
            </w:r>
            <w:bookmarkStart w:id="0" w:name="ICS"/>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ascii="黑体" w:hAnsi="黑体" w:eastAsia="黑体"/>
                <w:color w:val="auto"/>
                <w:sz w:val="21"/>
                <w:szCs w:val="21"/>
              </w:rPr>
              <w:t>03.100.99</w:t>
            </w:r>
            <w:r>
              <w:rPr>
                <w:rFonts w:ascii="黑体" w:hAnsi="黑体" w:eastAsia="黑体"/>
                <w:color w:val="auto"/>
                <w:sz w:val="21"/>
                <w:szCs w:val="21"/>
              </w:rPr>
              <w:fldChar w:fldCharType="end"/>
            </w:r>
            <w:bookmarkEnd w:id="0"/>
          </w:p>
        </w:tc>
      </w:tr>
      <w:tr w14:paraId="7BAB1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FB33AF2">
            <w:pPr>
              <w:pStyle w:val="21"/>
              <w:framePr w:wrap="notBeside" w:vAnchor="page" w:hAnchor="page" w:x="1372" w:y="568"/>
              <w:tabs>
                <w:tab w:val="clear" w:pos="4153"/>
                <w:tab w:val="clear" w:pos="8306"/>
              </w:tabs>
              <w:spacing w:before="40" w:line="240" w:lineRule="auto"/>
              <w:jc w:val="left"/>
              <w:rPr>
                <w:rFonts w:hint="eastAsia" w:ascii="黑体" w:hAnsi="黑体" w:eastAsia="黑体"/>
                <w:color w:val="auto"/>
                <w:sz w:val="21"/>
                <w:szCs w:val="21"/>
              </w:rPr>
            </w:pPr>
            <w:r>
              <w:rPr>
                <w:rFonts w:ascii="Times New Roman" w:hAnsi="Times New Roman" w:eastAsia="黑体"/>
                <w:color w:val="auto"/>
                <w:sz w:val="21"/>
                <w:szCs w:val="21"/>
              </w:rPr>
              <w:t xml:space="preserve">CCS </w:t>
            </w:r>
            <w:r>
              <w:rPr>
                <w:rFonts w:ascii="黑体" w:hAnsi="黑体" w:eastAsia="黑体"/>
                <w:color w:val="auto"/>
                <w:sz w:val="21"/>
                <w:szCs w:val="21"/>
              </w:rPr>
              <w:t xml:space="preserve"> </w:t>
            </w:r>
          </w:p>
        </w:tc>
        <w:tc>
          <w:tcPr>
            <w:tcW w:w="8855" w:type="dxa"/>
          </w:tcPr>
          <w:p w14:paraId="11B21DC0">
            <w:pPr>
              <w:pStyle w:val="21"/>
              <w:framePr w:wrap="notBeside" w:vAnchor="page" w:hAnchor="page" w:x="1372" w:y="568"/>
              <w:tabs>
                <w:tab w:val="clear" w:pos="4153"/>
                <w:tab w:val="clear" w:pos="8306"/>
              </w:tabs>
              <w:spacing w:before="40" w:line="240" w:lineRule="auto"/>
              <w:jc w:val="left"/>
              <w:rPr>
                <w:rFonts w:hint="eastAsia" w:ascii="黑体" w:hAnsi="黑体" w:eastAsia="黑体"/>
                <w:color w:val="auto"/>
                <w:sz w:val="21"/>
                <w:szCs w:val="21"/>
              </w:rPr>
            </w:pPr>
            <w:r>
              <w:rPr>
                <w:rFonts w:ascii="黑体" w:hAnsi="黑体" w:eastAsia="黑体"/>
                <w:color w:val="auto"/>
                <w:sz w:val="21"/>
                <w:szCs w:val="21"/>
              </w:rPr>
              <w:fldChar w:fldCharType="begin">
                <w:ffData>
                  <w:name w:val="CSDN"/>
                  <w:enabled/>
                  <w:calcOnExit w:val="0"/>
                  <w:textInput>
                    <w:default w:val="点击此处添加CCS号"/>
                  </w:textInput>
                </w:ffData>
              </w:fldChar>
            </w:r>
            <w:bookmarkStart w:id="1" w:name="CSDN"/>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hint="eastAsia" w:ascii="黑体" w:hAnsi="黑体" w:eastAsia="黑体"/>
                <w:color w:val="auto"/>
                <w:sz w:val="21"/>
                <w:szCs w:val="21"/>
              </w:rPr>
              <w:t>A</w:t>
            </w:r>
            <w:r>
              <w:rPr>
                <w:rFonts w:ascii="黑体" w:hAnsi="黑体" w:eastAsia="黑体"/>
                <w:color w:val="auto"/>
                <w:sz w:val="21"/>
                <w:szCs w:val="21"/>
              </w:rPr>
              <w:t xml:space="preserve"> 16</w:t>
            </w:r>
            <w:r>
              <w:rPr>
                <w:rFonts w:ascii="黑体" w:hAnsi="黑体" w:eastAsia="黑体"/>
                <w:color w:val="auto"/>
                <w:sz w:val="21"/>
                <w:szCs w:val="21"/>
              </w:rPr>
              <w:fldChar w:fldCharType="end"/>
            </w:r>
            <w:bookmarkEnd w:id="1"/>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063F3FA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100F9B13">
            <w:pPr>
              <w:pStyle w:val="59"/>
              <w:framePr w:w="0" w:hRule="auto" w:wrap="auto" w:vAnchor="margin" w:hAnchor="text" w:xAlign="left" w:yAlign="inline"/>
              <w:rPr>
                <w:rFonts w:hint="eastAsia" w:ascii="宋体" w:hAnsi="宋体"/>
                <w:color w:val="auto"/>
                <w:sz w:val="28"/>
                <w:szCs w:val="28"/>
              </w:rPr>
            </w:pPr>
            <w:bookmarkStart w:id="2" w:name="_Hlk26473981"/>
            <w:r>
              <w:rPr>
                <w:color w:val="auto"/>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color w:val="auto"/>
                <w:sz w:val="21"/>
                <w:szCs w:val="21"/>
              </w:rPr>
              <w:t xml:space="preserve"> </w:t>
            </w:r>
            <w:r>
              <w:rPr>
                <w:color w:val="auto"/>
              </w:rPr>
              <w:fldChar w:fldCharType="begin">
                <w:ffData>
                  <w:name w:val="c1"/>
                  <w:enabled/>
                  <w:calcOnExit w:val="0"/>
                  <w:textInput>
                    <w:maxLength w:val="8"/>
                  </w:textInput>
                </w:ffData>
              </w:fldChar>
            </w:r>
            <w:bookmarkStart w:id="3" w:name="c1"/>
            <w:r>
              <w:rPr>
                <w:color w:val="auto"/>
              </w:rPr>
              <w:instrText xml:space="preserve"> FORMTEXT </w:instrText>
            </w:r>
            <w:r>
              <w:rPr>
                <w:color w:val="auto"/>
              </w:rPr>
              <w:fldChar w:fldCharType="separate"/>
            </w:r>
            <w:r>
              <w:rPr>
                <w:color w:val="auto"/>
              </w:rPr>
              <w:t>44</w:t>
            </w:r>
            <w:r>
              <w:rPr>
                <w:color w:val="auto"/>
              </w:rPr>
              <w:fldChar w:fldCharType="end"/>
            </w:r>
            <w:bookmarkEnd w:id="3"/>
          </w:p>
        </w:tc>
      </w:tr>
    </w:tbl>
    <w:p w14:paraId="0ECAF629">
      <w:pPr>
        <w:pStyle w:val="60"/>
        <w:framePr w:w="9639" w:h="624" w:hRule="exact" w:hSpace="181" w:vSpace="181" w:wrap="around" w:hAnchor="page" w:x="1305" w:y="2269"/>
        <w:rPr>
          <w:rFonts w:hint="eastAsia" w:ascii="黑体" w:hAnsi="黑体" w:eastAsia="黑体"/>
          <w:b w:val="0"/>
          <w:bCs w:val="0"/>
          <w:color w:val="auto"/>
          <w:w w:val="100"/>
          <w:sz w:val="48"/>
          <w:szCs w:val="48"/>
        </w:rPr>
      </w:pPr>
      <w:r>
        <w:rPr>
          <w:rFonts w:ascii="黑体" w:eastAsia="黑体"/>
          <w:b w:val="0"/>
          <w:color w:val="auto"/>
          <w:w w:val="100"/>
          <w:sz w:val="48"/>
        </w:rPr>
        <w:fldChar w:fldCharType="begin">
          <w:ffData>
            <w:name w:val="c2"/>
            <w:enabled/>
            <w:calcOnExit w:val="0"/>
            <w:textInput/>
          </w:ffData>
        </w:fldChar>
      </w:r>
      <w:bookmarkStart w:id="4" w:name="c2"/>
      <w:r>
        <w:rPr>
          <w:rFonts w:ascii="黑体" w:eastAsia="黑体"/>
          <w:b w:val="0"/>
          <w:color w:val="auto"/>
          <w:w w:val="100"/>
          <w:sz w:val="48"/>
        </w:rPr>
        <w:instrText xml:space="preserve"> FORMTEXT </w:instrText>
      </w:r>
      <w:r>
        <w:rPr>
          <w:rFonts w:ascii="黑体" w:eastAsia="黑体"/>
          <w:b w:val="0"/>
          <w:color w:val="auto"/>
          <w:w w:val="100"/>
          <w:sz w:val="48"/>
        </w:rPr>
        <w:fldChar w:fldCharType="separate"/>
      </w:r>
      <w:r>
        <w:rPr>
          <w:rFonts w:hint="eastAsia" w:ascii="黑体" w:eastAsia="黑体"/>
          <w:b w:val="0"/>
          <w:color w:val="auto"/>
          <w:w w:val="100"/>
          <w:sz w:val="48"/>
        </w:rPr>
        <w:t>广东省</w:t>
      </w:r>
      <w:r>
        <w:rPr>
          <w:rFonts w:ascii="黑体" w:eastAsia="黑体"/>
          <w:b w:val="0"/>
          <w:color w:val="auto"/>
          <w:w w:val="100"/>
          <w:sz w:val="48"/>
        </w:rPr>
        <w:fldChar w:fldCharType="end"/>
      </w:r>
      <w:bookmarkEnd w:id="4"/>
      <w:r>
        <w:rPr>
          <w:rFonts w:hint="eastAsia" w:ascii="黑体" w:hAnsi="黑体" w:eastAsia="黑体"/>
          <w:b w:val="0"/>
          <w:bCs w:val="0"/>
          <w:color w:val="auto"/>
          <w:w w:val="100"/>
          <w:sz w:val="48"/>
          <w:szCs w:val="48"/>
        </w:rPr>
        <w:t>地方标准</w:t>
      </w:r>
    </w:p>
    <w:bookmarkEnd w:id="2"/>
    <w:p w14:paraId="5C545507">
      <w:pPr>
        <w:pStyle w:val="205"/>
        <w:rPr>
          <w:color w:val="auto"/>
          <w:lang w:val="fr-FR"/>
        </w:rPr>
      </w:pPr>
      <w:r>
        <w:rPr>
          <w:color w:val="auto"/>
          <w:lang w:val="fr-FR"/>
        </w:rPr>
        <w:t>DB</w:t>
      </w:r>
      <w:r>
        <w:rPr>
          <w:color w:val="auto"/>
          <w:sz w:val="15"/>
          <w:szCs w:val="15"/>
          <w:lang w:val="fr-FR"/>
        </w:rPr>
        <w:t xml:space="preserve"> </w:t>
      </w:r>
      <w:r>
        <w:rPr>
          <w:color w:val="auto"/>
        </w:rPr>
        <w:fldChar w:fldCharType="begin">
          <w:ffData>
            <w:name w:val="文字1"/>
            <w:enabled/>
            <w:calcOnExit w:val="0"/>
            <w:textInput>
              <w:default w:val="XX/T"/>
            </w:textInput>
          </w:ffData>
        </w:fldChar>
      </w:r>
      <w:bookmarkStart w:id="5" w:name="文字1"/>
      <w:r>
        <w:rPr>
          <w:color w:val="auto"/>
          <w:lang w:val="fr-FR"/>
        </w:rPr>
        <w:instrText xml:space="preserve"> FORMTEXT </w:instrText>
      </w:r>
      <w:r>
        <w:rPr>
          <w:color w:val="auto"/>
        </w:rPr>
        <w:fldChar w:fldCharType="separate"/>
      </w:r>
      <w:r>
        <w:rPr>
          <w:color w:val="auto"/>
          <w:lang w:val="fr-FR"/>
        </w:rPr>
        <w:t>44/T</w:t>
      </w:r>
      <w:r>
        <w:rPr>
          <w:color w:val="auto"/>
        </w:rPr>
        <w:fldChar w:fldCharType="end"/>
      </w:r>
      <w:bookmarkEnd w:id="5"/>
      <w:r>
        <w:rPr>
          <w:color w:val="auto"/>
          <w:lang w:val="fr-FR"/>
        </w:rPr>
        <w:t xml:space="preserve"> </w:t>
      </w:r>
      <w:r>
        <w:rPr>
          <w:color w:val="auto"/>
        </w:rPr>
        <w:fldChar w:fldCharType="begin">
          <w:ffData>
            <w:name w:val="NSTD_CODE_F"/>
            <w:enabled/>
            <w:calcOnExit w:val="0"/>
            <w:textInput>
              <w:default w:val="XXXX"/>
            </w:textInput>
          </w:ffData>
        </w:fldChar>
      </w:r>
      <w:bookmarkStart w:id="6" w:name="NSTD_CODE_F"/>
      <w:r>
        <w:rPr>
          <w:color w:val="auto"/>
          <w:lang w:val="fr-FR"/>
        </w:rPr>
        <w:instrText xml:space="preserve"> FORMTEXT </w:instrText>
      </w:r>
      <w:r>
        <w:rPr>
          <w:color w:val="auto"/>
        </w:rPr>
        <w:fldChar w:fldCharType="separate"/>
      </w:r>
      <w:r>
        <w:rPr>
          <w:color w:val="auto"/>
          <w:lang w:val="fr-FR"/>
        </w:rPr>
        <w:t>XXXX</w:t>
      </w:r>
      <w:r>
        <w:rPr>
          <w:color w:val="auto"/>
        </w:rPr>
        <w:fldChar w:fldCharType="end"/>
      </w:r>
      <w:bookmarkEnd w:id="6"/>
      <w:r>
        <w:rPr>
          <w:rFonts w:hAnsi="黑体"/>
          <w:color w:val="auto"/>
          <w:lang w:val="fr-FR"/>
        </w:rPr>
        <w:t>—</w:t>
      </w:r>
      <w:r>
        <w:rPr>
          <w:color w:val="auto"/>
        </w:rPr>
        <w:fldChar w:fldCharType="begin">
          <w:ffData>
            <w:name w:val="NSTD_CODE_B"/>
            <w:enabled/>
            <w:calcOnExit w:val="0"/>
            <w:textInput>
              <w:default w:val="XXXX"/>
            </w:textInput>
          </w:ffData>
        </w:fldChar>
      </w:r>
      <w:bookmarkStart w:id="7" w:name="NSTD_CODE_B"/>
      <w:r>
        <w:rPr>
          <w:color w:val="auto"/>
          <w:lang w:val="fr-FR"/>
        </w:rPr>
        <w:instrText xml:space="preserve"> FORMTEXT </w:instrText>
      </w:r>
      <w:r>
        <w:rPr>
          <w:color w:val="auto"/>
        </w:rPr>
        <w:fldChar w:fldCharType="separate"/>
      </w:r>
      <w:r>
        <w:rPr>
          <w:color w:val="auto"/>
        </w:rPr>
        <w:t>XXXX</w:t>
      </w:r>
      <w:r>
        <w:rPr>
          <w:color w:val="auto"/>
        </w:rPr>
        <w:fldChar w:fldCharType="end"/>
      </w:r>
      <w:bookmarkEnd w:id="7"/>
    </w:p>
    <w:p w14:paraId="3DDE2915">
      <w:pPr>
        <w:pStyle w:val="206"/>
        <w:rPr>
          <w:rFonts w:hint="eastAsia" w:hAnsi="黑体"/>
          <w:color w:val="auto"/>
        </w:rPr>
      </w:pPr>
      <w:r>
        <w:rPr>
          <w:rFonts w:hAnsi="黑体"/>
          <w:color w:val="auto"/>
        </w:rPr>
        <w:fldChar w:fldCharType="begin">
          <w:ffData>
            <w:name w:val="OSTD_CODE"/>
            <w:enabled/>
            <w:calcOnExit w:val="0"/>
            <w:textInput/>
          </w:ffData>
        </w:fldChar>
      </w:r>
      <w:bookmarkStart w:id="8" w:name="OSTD_CODE"/>
      <w:r>
        <w:rPr>
          <w:rFonts w:hAnsi="黑体"/>
          <w:color w:val="auto"/>
        </w:rPr>
        <w:instrText xml:space="preserve"> FORMTEXT </w:instrText>
      </w:r>
      <w:r>
        <w:rPr>
          <w:rFonts w:hAnsi="黑体"/>
          <w:color w:val="auto"/>
        </w:rPr>
        <w:fldChar w:fldCharType="separate"/>
      </w:r>
      <w:r>
        <w:rPr>
          <w:rFonts w:hAnsi="黑体"/>
          <w:color w:val="auto"/>
        </w:rPr>
        <w:t>     </w:t>
      </w:r>
      <w:r>
        <w:rPr>
          <w:rFonts w:hAnsi="黑体"/>
          <w:color w:val="auto"/>
        </w:rPr>
        <w:fldChar w:fldCharType="end"/>
      </w:r>
      <w:bookmarkEnd w:id="8"/>
    </w:p>
    <w:p w14:paraId="7D47CC61">
      <w:pPr>
        <w:spacing w:line="240" w:lineRule="auto"/>
        <w:rPr>
          <w:rFonts w:hint="eastAsia" w:ascii="黑体" w:hAnsi="黑体" w:eastAsia="黑体"/>
          <w:color w:val="auto"/>
          <w:kern w:val="0"/>
          <w:sz w:val="10"/>
          <w:szCs w:val="10"/>
        </w:rPr>
      </w:pPr>
      <w:r>
        <w:rPr>
          <w:rFonts w:ascii="黑体" w:hAnsi="黑体" w:eastAsia="黑体"/>
          <w:color w:val="auto"/>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F6EFAEF">
      <w:pPr>
        <w:pStyle w:val="60"/>
        <w:framePr w:w="9639" w:h="6976" w:hRule="exact" w:hSpace="0" w:vSpace="0" w:wrap="around" w:hAnchor="page" w:y="6408"/>
        <w:jc w:val="center"/>
        <w:rPr>
          <w:rFonts w:hint="eastAsia" w:ascii="黑体" w:hAnsi="黑体" w:eastAsia="黑体"/>
          <w:b w:val="0"/>
          <w:bCs w:val="0"/>
          <w:color w:val="auto"/>
          <w:w w:val="100"/>
        </w:rPr>
      </w:pPr>
    </w:p>
    <w:p w14:paraId="72150BB1">
      <w:pPr>
        <w:pStyle w:val="207"/>
        <w:framePr w:h="6974" w:hRule="exact" w:wrap="around" w:x="1419" w:anchorLock="1"/>
        <w:rPr>
          <w:rFonts w:hint="eastAsia"/>
          <w:color w:val="auto"/>
        </w:rPr>
      </w:pPr>
      <w:r>
        <w:rPr>
          <w:rFonts w:hint="eastAsia"/>
          <w:color w:val="auto"/>
        </w:rPr>
        <w:fldChar w:fldCharType="begin">
          <w:ffData>
            <w:name w:val="CSTD_NAME"/>
            <w:enabled/>
            <w:calcOnExit w:val="0"/>
            <w:textInput>
              <w:default w:val="省级体育社会团体建设指南"/>
            </w:textInput>
          </w:ffData>
        </w:fldChar>
      </w:r>
      <w:bookmarkStart w:id="9" w:name="CSTD_NAME"/>
      <w:r>
        <w:rPr>
          <w:rFonts w:hint="eastAsia"/>
          <w:color w:val="auto"/>
        </w:rPr>
        <w:instrText xml:space="preserve"> </w:instrText>
      </w:r>
      <w:r>
        <w:rPr>
          <w:color w:val="auto"/>
        </w:rPr>
        <w:instrText xml:space="preserve">FORMTEXT</w:instrText>
      </w:r>
      <w:r>
        <w:rPr>
          <w:rFonts w:hint="eastAsia"/>
          <w:color w:val="auto"/>
        </w:rPr>
        <w:instrText xml:space="preserve"> </w:instrText>
      </w:r>
      <w:r>
        <w:rPr>
          <w:rFonts w:hint="eastAsia"/>
          <w:color w:val="auto"/>
        </w:rPr>
        <w:fldChar w:fldCharType="separate"/>
      </w:r>
      <w:r>
        <w:rPr>
          <w:rFonts w:hint="eastAsia"/>
          <w:color w:val="auto"/>
        </w:rPr>
        <w:t>省级体育社会团体建设指南</w:t>
      </w:r>
      <w:r>
        <w:rPr>
          <w:rFonts w:hint="eastAsia"/>
          <w:color w:val="auto"/>
        </w:rPr>
        <w:fldChar w:fldCharType="end"/>
      </w:r>
      <w:bookmarkEnd w:id="9"/>
    </w:p>
    <w:p w14:paraId="1BD119FF">
      <w:pPr>
        <w:framePr w:w="9639" w:h="6974" w:hRule="exact" w:wrap="around" w:vAnchor="page" w:hAnchor="page" w:x="1419" w:y="6408" w:anchorLock="1"/>
        <w:ind w:left="-1418"/>
        <w:rPr>
          <w:color w:val="auto"/>
        </w:rPr>
      </w:pPr>
    </w:p>
    <w:p w14:paraId="62106A3C">
      <w:pPr>
        <w:pStyle w:val="135"/>
        <w:framePr w:w="9639" w:h="6974" w:hRule="exact" w:wrap="around" w:vAnchor="page" w:hAnchor="page" w:x="1419" w:y="6408" w:anchorLock="1"/>
        <w:textAlignment w:val="bottom"/>
        <w:rPr>
          <w:rFonts w:eastAsia="黑体"/>
          <w:color w:val="auto"/>
          <w:szCs w:val="28"/>
        </w:rPr>
      </w:pPr>
      <w:r>
        <w:rPr>
          <w:rFonts w:eastAsia="黑体"/>
          <w:color w:val="auto"/>
          <w:szCs w:val="28"/>
        </w:rPr>
        <w:fldChar w:fldCharType="begin">
          <w:ffData>
            <w:name w:val="ESTD_NAME"/>
            <w:enabled/>
            <w:calcOnExit w:val="0"/>
            <w:textInput>
              <w:default w:val="Guidelines for the construction of provincial sports social groups"/>
            </w:textInput>
          </w:ffData>
        </w:fldChar>
      </w:r>
      <w:bookmarkStart w:id="10" w:name="ESTD_NAME"/>
      <w:r>
        <w:rPr>
          <w:rFonts w:eastAsia="黑体"/>
          <w:color w:val="auto"/>
          <w:szCs w:val="28"/>
        </w:rPr>
        <w:instrText xml:space="preserve"> FORMTEXT </w:instrText>
      </w:r>
      <w:r>
        <w:rPr>
          <w:rFonts w:eastAsia="黑体"/>
          <w:color w:val="auto"/>
          <w:szCs w:val="28"/>
        </w:rPr>
        <w:fldChar w:fldCharType="separate"/>
      </w:r>
      <w:r>
        <w:rPr>
          <w:rFonts w:eastAsia="黑体"/>
          <w:color w:val="auto"/>
          <w:szCs w:val="28"/>
        </w:rPr>
        <w:t>Guidelines for the construction of provincial sports social groups</w:t>
      </w:r>
      <w:r>
        <w:rPr>
          <w:rFonts w:eastAsia="黑体"/>
          <w:color w:val="auto"/>
          <w:szCs w:val="28"/>
        </w:rPr>
        <w:fldChar w:fldCharType="end"/>
      </w:r>
      <w:bookmarkEnd w:id="10"/>
    </w:p>
    <w:p w14:paraId="5CC40287">
      <w:pPr>
        <w:framePr w:w="9639" w:h="6974" w:hRule="exact" w:wrap="around" w:vAnchor="page" w:hAnchor="page" w:x="1419" w:y="6408" w:anchorLock="1"/>
        <w:spacing w:line="760" w:lineRule="exact"/>
        <w:ind w:left="-1418"/>
        <w:rPr>
          <w:color w:val="auto"/>
        </w:rPr>
      </w:pPr>
    </w:p>
    <w:p w14:paraId="2A2DF821">
      <w:pPr>
        <w:pStyle w:val="135"/>
        <w:framePr w:w="9639" w:h="6974" w:hRule="exact" w:wrap="around" w:vAnchor="page" w:hAnchor="page" w:x="1419" w:y="6408" w:anchorLock="1"/>
        <w:textAlignment w:val="bottom"/>
        <w:rPr>
          <w:rFonts w:eastAsia="黑体"/>
          <w:color w:val="auto"/>
          <w:szCs w:val="28"/>
        </w:rPr>
      </w:pPr>
    </w:p>
    <w:p w14:paraId="01732F11">
      <w:pPr>
        <w:pStyle w:val="135"/>
        <w:framePr w:w="9639" w:h="6974" w:hRule="exact" w:wrap="around" w:vAnchor="page" w:hAnchor="page" w:x="1419" w:y="6408" w:anchorLock="1"/>
        <w:spacing w:before="440" w:after="160"/>
        <w:textAlignment w:val="bottom"/>
        <w:rPr>
          <w:color w:val="auto"/>
          <w:sz w:val="24"/>
          <w:szCs w:val="28"/>
        </w:rPr>
      </w:pPr>
      <w:bookmarkStart w:id="11" w:name="下拉1"/>
      <w:r>
        <w:rPr>
          <w:rFonts w:hint="eastAsia" w:cs="Times New Roman"/>
          <w:sz w:val="24"/>
          <w:szCs w:val="28"/>
          <w:lang w:val="en-US" w:eastAsia="zh-CN" w:bidi="ar-SA"/>
        </w:rPr>
        <w:t>（送审稿）</w:t>
      </w:r>
      <w:r>
        <w:rPr>
          <w:color w:val="auto"/>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color w:val="auto"/>
          <w:sz w:val="24"/>
          <w:szCs w:val="28"/>
        </w:rPr>
        <w:instrText xml:space="preserve">FORMDROPDOWN</w:instrText>
      </w:r>
      <w:r>
        <w:rPr>
          <w:color w:val="auto"/>
          <w:sz w:val="24"/>
          <w:szCs w:val="28"/>
        </w:rPr>
        <w:fldChar w:fldCharType="separate"/>
      </w:r>
      <w:r>
        <w:rPr>
          <w:color w:val="auto"/>
          <w:sz w:val="24"/>
          <w:szCs w:val="28"/>
        </w:rPr>
        <w:fldChar w:fldCharType="end"/>
      </w:r>
      <w:bookmarkEnd w:id="11"/>
    </w:p>
    <w:p w14:paraId="79A41120">
      <w:pPr>
        <w:pStyle w:val="135"/>
        <w:framePr w:w="9639" w:h="6974" w:hRule="exact" w:wrap="around" w:vAnchor="page" w:hAnchor="page" w:x="1419" w:y="6408" w:anchorLock="1"/>
        <w:spacing w:before="180" w:line="240" w:lineRule="atLeast"/>
        <w:textAlignment w:val="bottom"/>
        <w:rPr>
          <w:color w:val="auto"/>
          <w:sz w:val="21"/>
          <w:szCs w:val="28"/>
        </w:rPr>
      </w:pPr>
      <w:r>
        <w:rPr>
          <w:color w:val="auto"/>
          <w:sz w:val="21"/>
          <w:szCs w:val="28"/>
        </w:rPr>
        <w:fldChar w:fldCharType="begin">
          <w:ffData>
            <w:name w:val="CMPLSH_DATE"/>
            <w:enabled/>
            <w:calcOnExit w:val="0"/>
            <w:textInput/>
          </w:ffData>
        </w:fldChar>
      </w:r>
      <w:bookmarkStart w:id="12" w:name="CMPLSH_DATE"/>
      <w:r>
        <w:rPr>
          <w:color w:val="auto"/>
          <w:sz w:val="21"/>
          <w:szCs w:val="28"/>
        </w:rPr>
        <w:instrText xml:space="preserve"> FORMTEXT </w:instrText>
      </w:r>
      <w:r>
        <w:rPr>
          <w:color w:val="auto"/>
          <w:sz w:val="21"/>
          <w:szCs w:val="28"/>
        </w:rPr>
        <w:fldChar w:fldCharType="separate"/>
      </w:r>
      <w:r>
        <w:rPr>
          <w:color w:val="auto"/>
          <w:sz w:val="21"/>
          <w:szCs w:val="28"/>
        </w:rPr>
        <w:t>     </w:t>
      </w:r>
      <w:r>
        <w:rPr>
          <w:color w:val="auto"/>
          <w:sz w:val="21"/>
          <w:szCs w:val="28"/>
        </w:rPr>
        <w:fldChar w:fldCharType="end"/>
      </w:r>
      <w:bookmarkEnd w:id="12"/>
    </w:p>
    <w:p w14:paraId="21905E44">
      <w:pPr>
        <w:pStyle w:val="135"/>
        <w:framePr w:w="9639" w:h="6974" w:hRule="exact" w:wrap="around" w:vAnchor="page" w:hAnchor="page" w:x="1419" w:y="6408" w:anchorLock="1"/>
        <w:spacing w:before="720" w:beforeLines="300" w:after="72" w:afterLines="30" w:line="240" w:lineRule="auto"/>
        <w:textAlignment w:val="bottom"/>
        <w:rPr>
          <w:b/>
          <w:color w:val="auto"/>
          <w:sz w:val="21"/>
          <w:szCs w:val="28"/>
        </w:rPr>
      </w:pPr>
      <w:r>
        <w:rPr>
          <w:b/>
          <w:color w:val="auto"/>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color w:val="auto"/>
          <w:sz w:val="21"/>
          <w:szCs w:val="28"/>
        </w:rPr>
        <w:instrText xml:space="preserve"> FORMDROPDOWN </w:instrText>
      </w:r>
      <w:r>
        <w:rPr>
          <w:b/>
          <w:color w:val="auto"/>
          <w:sz w:val="21"/>
          <w:szCs w:val="28"/>
        </w:rPr>
        <w:fldChar w:fldCharType="separate"/>
      </w:r>
      <w:r>
        <w:rPr>
          <w:b/>
          <w:color w:val="auto"/>
          <w:sz w:val="21"/>
          <w:szCs w:val="28"/>
        </w:rPr>
        <w:fldChar w:fldCharType="end"/>
      </w:r>
      <w:bookmarkEnd w:id="13"/>
    </w:p>
    <w:p w14:paraId="538BA629">
      <w:pPr>
        <w:pStyle w:val="203"/>
        <w:framePr w:wrap="around" w:y="14176"/>
        <w:rPr>
          <w:color w:val="auto"/>
        </w:rPr>
      </w:pPr>
      <w:r>
        <w:rPr>
          <w:rFonts w:ascii="黑体"/>
          <w:color w:val="auto"/>
        </w:rPr>
        <w:fldChar w:fldCharType="begin">
          <w:ffData>
            <w:name w:val="PLSH_DATE_Y"/>
            <w:enabled/>
            <w:calcOnExit w:val="0"/>
            <w:textInput>
              <w:default w:val="XXXX"/>
              <w:maxLength w:val="4"/>
            </w:textInput>
          </w:ffData>
        </w:fldChar>
      </w:r>
      <w:bookmarkStart w:id="14" w:name="PLSH_DATE_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14"/>
      <w:r>
        <w:rPr>
          <w:color w:val="auto"/>
        </w:rPr>
        <w:t xml:space="preserve"> </w:t>
      </w:r>
      <w:r>
        <w:rPr>
          <w:rFonts w:ascii="黑体"/>
          <w:color w:val="auto"/>
        </w:rPr>
        <w:t>-</w:t>
      </w:r>
      <w:r>
        <w:rPr>
          <w:color w:val="auto"/>
        </w:rPr>
        <w:t xml:space="preserve"> </w:t>
      </w:r>
      <w:r>
        <w:rPr>
          <w:rFonts w:ascii="黑体"/>
          <w:color w:val="auto"/>
        </w:rPr>
        <w:fldChar w:fldCharType="begin">
          <w:ffData>
            <w:name w:val="PLSH_DATE_M"/>
            <w:enabled/>
            <w:calcOnExit w:val="0"/>
            <w:textInput>
              <w:default w:val="XX"/>
              <w:maxLength w:val="2"/>
            </w:textInput>
          </w:ffData>
        </w:fldChar>
      </w:r>
      <w:bookmarkStart w:id="15" w:name="PLSH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5"/>
      <w:r>
        <w:rPr>
          <w:color w:val="auto"/>
        </w:rPr>
        <w:t xml:space="preserve"> </w:t>
      </w:r>
      <w:r>
        <w:rPr>
          <w:rFonts w:ascii="黑体"/>
          <w:color w:val="auto"/>
        </w:rPr>
        <w:t>-</w:t>
      </w:r>
      <w:r>
        <w:rPr>
          <w:color w:val="auto"/>
        </w:rPr>
        <w:t xml:space="preserve"> </w:t>
      </w:r>
      <w:r>
        <w:rPr>
          <w:rFonts w:ascii="黑体"/>
          <w:color w:val="auto"/>
        </w:rPr>
        <w:fldChar w:fldCharType="begin">
          <w:ffData>
            <w:name w:val="PLSH_DATE_D"/>
            <w:enabled/>
            <w:calcOnExit w:val="0"/>
            <w:textInput>
              <w:default w:val="XX"/>
              <w:maxLength w:val="2"/>
            </w:textInput>
          </w:ffData>
        </w:fldChar>
      </w:r>
      <w:bookmarkStart w:id="16" w:name="PLSH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6"/>
      <w:r>
        <w:rPr>
          <w:rFonts w:hint="eastAsia"/>
          <w:color w:val="auto"/>
        </w:rPr>
        <w:t>发布</w:t>
      </w:r>
    </w:p>
    <w:p w14:paraId="2DB3B2CC">
      <w:pPr>
        <w:pStyle w:val="204"/>
        <w:framePr w:wrap="around" w:y="14176"/>
        <w:rPr>
          <w:color w:val="auto"/>
        </w:rPr>
      </w:pPr>
      <w:r>
        <w:rPr>
          <w:rFonts w:ascii="黑体"/>
          <w:color w:val="auto"/>
        </w:rPr>
        <w:fldChar w:fldCharType="begin">
          <w:ffData>
            <w:name w:val="CROT_DATE_Y"/>
            <w:enabled/>
            <w:calcOnExit w:val="0"/>
            <w:textInput>
              <w:default w:val="XXXX"/>
              <w:maxLength w:val="4"/>
            </w:textInput>
          </w:ffData>
        </w:fldChar>
      </w:r>
      <w:bookmarkStart w:id="17" w:name="CROT_DATE_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17"/>
      <w:r>
        <w:rPr>
          <w:color w:val="auto"/>
        </w:rPr>
        <w:t xml:space="preserve"> </w:t>
      </w:r>
      <w:r>
        <w:rPr>
          <w:rFonts w:ascii="黑体"/>
          <w:color w:val="auto"/>
        </w:rPr>
        <w:t>-</w:t>
      </w:r>
      <w:r>
        <w:rPr>
          <w:color w:val="auto"/>
        </w:rPr>
        <w:t xml:space="preserve"> </w:t>
      </w:r>
      <w:r>
        <w:rPr>
          <w:rFonts w:ascii="黑体"/>
          <w:color w:val="auto"/>
        </w:rPr>
        <w:fldChar w:fldCharType="begin">
          <w:ffData>
            <w:name w:val="CROT_DATE_M"/>
            <w:enabled/>
            <w:calcOnExit w:val="0"/>
            <w:textInput>
              <w:default w:val="XX"/>
              <w:maxLength w:val="2"/>
            </w:textInput>
          </w:ffData>
        </w:fldChar>
      </w:r>
      <w:bookmarkStart w:id="18" w:name="CROT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8"/>
      <w:r>
        <w:rPr>
          <w:color w:val="auto"/>
        </w:rPr>
        <w:t xml:space="preserve"> </w:t>
      </w:r>
      <w:r>
        <w:rPr>
          <w:rFonts w:ascii="黑体"/>
          <w:color w:val="auto"/>
        </w:rPr>
        <w:t>-</w:t>
      </w:r>
      <w:r>
        <w:rPr>
          <w:color w:val="auto"/>
        </w:rPr>
        <w:t xml:space="preserve"> </w:t>
      </w:r>
      <w:r>
        <w:rPr>
          <w:rFonts w:ascii="黑体"/>
          <w:color w:val="auto"/>
        </w:rPr>
        <w:fldChar w:fldCharType="begin">
          <w:ffData>
            <w:name w:val="CROT_DATE_D"/>
            <w:enabled/>
            <w:calcOnExit w:val="0"/>
            <w:textInput>
              <w:default w:val="XX"/>
              <w:maxLength w:val="2"/>
            </w:textInput>
          </w:ffData>
        </w:fldChar>
      </w:r>
      <w:bookmarkStart w:id="19" w:name="CROT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9"/>
      <w:r>
        <w:rPr>
          <w:rFonts w:hint="eastAsia"/>
          <w:color w:val="auto"/>
        </w:rPr>
        <w:t>实施</w:t>
      </w:r>
    </w:p>
    <w:p w14:paraId="15DA200F">
      <w:pPr>
        <w:pStyle w:val="161"/>
        <w:framePr w:h="584" w:hRule="exact" w:hSpace="181" w:vSpace="181" w:wrap="around" w:y="15027"/>
        <w:rPr>
          <w:rFonts w:hint="eastAsia" w:hAnsi="黑体"/>
          <w:color w:val="auto"/>
        </w:rPr>
      </w:pPr>
      <w:r>
        <w:rPr>
          <w:rFonts w:hAnsi="黑体"/>
          <w:color w:val="auto"/>
          <w:w w:val="100"/>
          <w:sz w:val="28"/>
        </w:rPr>
        <w:fldChar w:fldCharType="begin">
          <w:ffData>
            <w:name w:val="fm"/>
            <w:enabled/>
            <w:calcOnExit w:val="0"/>
            <w:textInput/>
          </w:ffData>
        </w:fldChar>
      </w:r>
      <w:bookmarkStart w:id="20" w:name="fm"/>
      <w:r>
        <w:rPr>
          <w:rFonts w:hAnsi="黑体"/>
          <w:color w:val="auto"/>
          <w:w w:val="100"/>
          <w:sz w:val="28"/>
        </w:rPr>
        <w:instrText xml:space="preserve"> FORMTEXT </w:instrText>
      </w:r>
      <w:r>
        <w:rPr>
          <w:rFonts w:hAnsi="黑体"/>
          <w:color w:val="auto"/>
          <w:w w:val="100"/>
          <w:sz w:val="28"/>
        </w:rPr>
        <w:fldChar w:fldCharType="separate"/>
      </w:r>
      <w:r>
        <w:rPr>
          <w:rFonts w:hint="eastAsia" w:hAnsi="黑体"/>
          <w:color w:val="auto"/>
          <w:w w:val="100"/>
          <w:sz w:val="28"/>
        </w:rPr>
        <w:t>广东省市场监督管理局</w:t>
      </w:r>
      <w:r>
        <w:rPr>
          <w:rFonts w:hAnsi="黑体"/>
          <w:color w:val="auto"/>
          <w:w w:val="100"/>
          <w:sz w:val="28"/>
        </w:rPr>
        <w:fldChar w:fldCharType="end"/>
      </w:r>
      <w:bookmarkEnd w:id="20"/>
      <w:r>
        <w:rPr>
          <w:rFonts w:ascii="Times New Roman"/>
          <w:color w:val="auto"/>
          <w:w w:val="100"/>
          <w:sz w:val="28"/>
        </w:rPr>
        <w:t>  </w:t>
      </w:r>
      <w:r>
        <w:rPr>
          <w:rStyle w:val="239"/>
          <w:rFonts w:hint="eastAsia" w:hAnsi="黑体"/>
          <w:color w:val="auto"/>
          <w:position w:val="0"/>
        </w:rPr>
        <w:t>发</w:t>
      </w:r>
      <w:r>
        <w:rPr>
          <w:rStyle w:val="239"/>
          <w:rFonts w:hint="eastAsia" w:hAnsi="黑体"/>
          <w:color w:val="auto"/>
          <w:spacing w:val="0"/>
          <w:position w:val="0"/>
        </w:rPr>
        <w:t>布</w:t>
      </w:r>
    </w:p>
    <w:p w14:paraId="20DD73C5">
      <w:pPr>
        <w:pStyle w:val="184"/>
        <w:rPr>
          <w:color w:val="auto"/>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color w:val="auto"/>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26444E1">
      <w:pPr>
        <w:pStyle w:val="101"/>
        <w:spacing w:after="468"/>
        <w:rPr>
          <w:color w:val="auto"/>
        </w:rPr>
      </w:pPr>
      <w:bookmarkStart w:id="21" w:name="BookMark1"/>
      <w:bookmarkStart w:id="22" w:name="_Toc14725"/>
      <w:bookmarkStart w:id="23" w:name="_Toc7307"/>
      <w:r>
        <w:rPr>
          <w:rFonts w:hint="eastAsia"/>
          <w:color w:val="auto"/>
          <w:spacing w:val="320"/>
        </w:rPr>
        <w:t>目</w:t>
      </w:r>
      <w:r>
        <w:rPr>
          <w:rFonts w:hint="eastAsia"/>
          <w:color w:val="auto"/>
        </w:rPr>
        <w:t>次</w:t>
      </w:r>
    </w:p>
    <w:p w14:paraId="3691D073">
      <w:pPr>
        <w:pStyle w:val="22"/>
        <w:tabs>
          <w:tab w:val="right" w:leader="dot" w:pos="9354"/>
        </w:tabs>
      </w:pPr>
      <w:r>
        <w:rPr>
          <w:rFonts w:hint="eastAsia" w:ascii="宋体" w:hAnsi="宋体" w:eastAsia="宋体" w:cs="宋体"/>
          <w:color w:val="auto"/>
        </w:rPr>
        <w:fldChar w:fldCharType="begin"/>
      </w:r>
      <w:r>
        <w:rPr>
          <w:rFonts w:hint="eastAsia" w:ascii="宋体" w:hAnsi="宋体" w:eastAsia="宋体" w:cs="宋体"/>
          <w:color w:val="auto"/>
        </w:rPr>
        <w:instrText xml:space="preserve"> TOC \o "1-1" \h \t "标准文件_一级条标题,2,标准文件_二级条标题,3,标准文件_附录一级条标题,2,标准文件_附录二级条标题,3," </w:instrText>
      </w:r>
      <w:r>
        <w:rPr>
          <w:rFonts w:hint="eastAsia" w:ascii="宋体" w:hAnsi="宋体" w:eastAsia="宋体" w:cs="宋体"/>
          <w:color w:val="auto"/>
        </w:rPr>
        <w:fldChar w:fldCharType="separate"/>
      </w:r>
      <w:r>
        <w:rPr>
          <w:rFonts w:hint="eastAsia"/>
        </w:rPr>
        <w:fldChar w:fldCharType="begin"/>
      </w:r>
      <w:r>
        <w:rPr>
          <w:rFonts w:hint="eastAsia"/>
        </w:rPr>
        <w:instrText xml:space="preserve"> HYPERLINK \l _Toc7016 </w:instrText>
      </w:r>
      <w:r>
        <w:rPr>
          <w:rFonts w:hint="eastAsia"/>
        </w:rPr>
        <w:fldChar w:fldCharType="separate"/>
      </w:r>
      <w:r>
        <w:rPr>
          <w:rFonts w:hint="eastAsia"/>
        </w:rPr>
        <w:t>前言</w:t>
      </w:r>
      <w:r>
        <w:rPr>
          <w:rFonts w:hint="eastAsia"/>
        </w:rPr>
        <w:tab/>
      </w:r>
      <w:r>
        <w:rPr>
          <w:rFonts w:hint="eastAsia"/>
        </w:rPr>
        <w:fldChar w:fldCharType="begin"/>
      </w:r>
      <w:r>
        <w:rPr>
          <w:rFonts w:hint="eastAsia"/>
        </w:rPr>
        <w:instrText xml:space="preserve"> PAGEREF _Toc7016 \h </w:instrText>
      </w:r>
      <w:r>
        <w:rPr>
          <w:rFonts w:hint="eastAsia"/>
        </w:rPr>
        <w:fldChar w:fldCharType="separate"/>
      </w:r>
      <w:r>
        <w:rPr>
          <w:rFonts w:hint="eastAsia"/>
        </w:rPr>
        <w:t>III</w:t>
      </w:r>
      <w:r>
        <w:rPr>
          <w:rFonts w:hint="eastAsia"/>
        </w:rPr>
        <w:fldChar w:fldCharType="end"/>
      </w:r>
      <w:r>
        <w:rPr>
          <w:rFonts w:hint="eastAsia"/>
        </w:rPr>
        <w:fldChar w:fldCharType="end"/>
      </w:r>
    </w:p>
    <w:p w14:paraId="0DE5CD93">
      <w:pPr>
        <w:pStyle w:val="22"/>
        <w:tabs>
          <w:tab w:val="right" w:leader="dot" w:pos="9354"/>
        </w:tabs>
      </w:pPr>
      <w:r>
        <w:rPr>
          <w:rFonts w:hint="eastAsia" w:ascii="宋体" w:hAnsi="宋体" w:eastAsia="宋体" w:cs="宋体"/>
          <w:color w:val="auto"/>
        </w:rPr>
        <w:fldChar w:fldCharType="begin"/>
      </w:r>
      <w:r>
        <w:rPr>
          <w:rFonts w:hint="eastAsia" w:ascii="宋体" w:hAnsi="宋体" w:eastAsia="宋体" w:cs="宋体"/>
        </w:rPr>
        <w:instrText xml:space="preserve"> HYPERLINK \l _Toc22213 </w:instrText>
      </w:r>
      <w:r>
        <w:rPr>
          <w:rFonts w:hint="eastAsia" w:ascii="宋体" w:hAnsi="宋体" w:eastAsia="宋体" w:cs="宋体"/>
        </w:rPr>
        <w:fldChar w:fldCharType="separate"/>
      </w:r>
      <w:r>
        <w:rPr>
          <w:rFonts w:hint="eastAsia" w:ascii="黑体" w:eastAsia="黑体"/>
          <w:i w:val="0"/>
        </w:rPr>
        <w:t xml:space="preserve">1 </w:t>
      </w:r>
      <w:r>
        <w:rPr>
          <w:rFonts w:hint="eastAsia"/>
        </w:rPr>
        <w:t>范围</w:t>
      </w:r>
      <w:r>
        <w:tab/>
      </w:r>
      <w:r>
        <w:fldChar w:fldCharType="begin"/>
      </w:r>
      <w:r>
        <w:instrText xml:space="preserve"> PAGEREF _Toc22213 \h </w:instrText>
      </w:r>
      <w:r>
        <w:fldChar w:fldCharType="separate"/>
      </w:r>
      <w:r>
        <w:t>4</w:t>
      </w:r>
      <w:r>
        <w:fldChar w:fldCharType="end"/>
      </w:r>
      <w:r>
        <w:rPr>
          <w:rFonts w:hint="eastAsia" w:ascii="宋体" w:hAnsi="宋体" w:eastAsia="宋体" w:cs="宋体"/>
          <w:color w:val="auto"/>
        </w:rPr>
        <w:fldChar w:fldCharType="end"/>
      </w:r>
    </w:p>
    <w:p w14:paraId="45CCC5EA">
      <w:pPr>
        <w:pStyle w:val="22"/>
        <w:tabs>
          <w:tab w:val="right" w:leader="dot" w:pos="9354"/>
        </w:tabs>
      </w:pPr>
      <w:r>
        <w:rPr>
          <w:rFonts w:hint="eastAsia" w:ascii="宋体" w:hAnsi="宋体" w:eastAsia="宋体" w:cs="宋体"/>
          <w:color w:val="auto"/>
        </w:rPr>
        <w:fldChar w:fldCharType="begin"/>
      </w:r>
      <w:r>
        <w:rPr>
          <w:rFonts w:hint="eastAsia" w:ascii="宋体" w:hAnsi="宋体" w:eastAsia="宋体" w:cs="宋体"/>
        </w:rPr>
        <w:instrText xml:space="preserve"> HYPERLINK \l _Toc7298 </w:instrText>
      </w:r>
      <w:r>
        <w:rPr>
          <w:rFonts w:hint="eastAsia" w:ascii="宋体" w:hAnsi="宋体" w:eastAsia="宋体" w:cs="宋体"/>
        </w:rP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_Toc7298 \h </w:instrText>
      </w:r>
      <w:r>
        <w:fldChar w:fldCharType="separate"/>
      </w:r>
      <w:r>
        <w:t>4</w:t>
      </w:r>
      <w:r>
        <w:fldChar w:fldCharType="end"/>
      </w:r>
      <w:r>
        <w:rPr>
          <w:rFonts w:hint="eastAsia" w:ascii="宋体" w:hAnsi="宋体" w:eastAsia="宋体" w:cs="宋体"/>
          <w:color w:val="auto"/>
        </w:rPr>
        <w:fldChar w:fldCharType="end"/>
      </w:r>
    </w:p>
    <w:p w14:paraId="01341E70">
      <w:pPr>
        <w:pStyle w:val="22"/>
        <w:tabs>
          <w:tab w:val="right" w:leader="dot" w:pos="9354"/>
        </w:tabs>
      </w:pPr>
      <w:r>
        <w:rPr>
          <w:rFonts w:hint="eastAsia" w:ascii="宋体" w:hAnsi="宋体" w:eastAsia="宋体" w:cs="宋体"/>
          <w:color w:val="auto"/>
        </w:rPr>
        <w:fldChar w:fldCharType="begin"/>
      </w:r>
      <w:r>
        <w:rPr>
          <w:rFonts w:hint="eastAsia" w:ascii="宋体" w:hAnsi="宋体" w:eastAsia="宋体" w:cs="宋体"/>
        </w:rPr>
        <w:instrText xml:space="preserve"> HYPERLINK \l _Toc23294 </w:instrText>
      </w:r>
      <w:r>
        <w:rPr>
          <w:rFonts w:hint="eastAsia" w:ascii="宋体" w:hAnsi="宋体" w:eastAsia="宋体" w:cs="宋体"/>
        </w:rP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_Toc23294 \h </w:instrText>
      </w:r>
      <w:r>
        <w:fldChar w:fldCharType="separate"/>
      </w:r>
      <w:r>
        <w:t>4</w:t>
      </w:r>
      <w:r>
        <w:fldChar w:fldCharType="end"/>
      </w:r>
      <w:r>
        <w:rPr>
          <w:rFonts w:hint="eastAsia" w:ascii="宋体" w:hAnsi="宋体" w:eastAsia="宋体" w:cs="宋体"/>
          <w:color w:val="auto"/>
        </w:rPr>
        <w:fldChar w:fldCharType="end"/>
      </w:r>
    </w:p>
    <w:p w14:paraId="2F0370B3">
      <w:pPr>
        <w:pStyle w:val="22"/>
        <w:tabs>
          <w:tab w:val="right" w:leader="dot" w:pos="9354"/>
        </w:tabs>
      </w:pPr>
      <w:r>
        <w:rPr>
          <w:rFonts w:hint="eastAsia" w:ascii="宋体" w:hAnsi="宋体" w:eastAsia="宋体" w:cs="宋体"/>
          <w:color w:val="auto"/>
        </w:rPr>
        <w:fldChar w:fldCharType="begin"/>
      </w:r>
      <w:r>
        <w:rPr>
          <w:rFonts w:hint="eastAsia" w:ascii="宋体" w:hAnsi="宋体" w:eastAsia="宋体" w:cs="宋体"/>
        </w:rPr>
        <w:instrText xml:space="preserve"> HYPERLINK \l _Toc19166 </w:instrText>
      </w:r>
      <w:r>
        <w:rPr>
          <w:rFonts w:hint="eastAsia" w:ascii="宋体" w:hAnsi="宋体" w:eastAsia="宋体" w:cs="宋体"/>
        </w:rPr>
        <w:fldChar w:fldCharType="separate"/>
      </w:r>
      <w:r>
        <w:rPr>
          <w:rFonts w:hint="eastAsia" w:ascii="黑体" w:eastAsia="黑体"/>
          <w:i w:val="0"/>
          <w:szCs w:val="21"/>
        </w:rPr>
        <w:t xml:space="preserve">4 </w:t>
      </w:r>
      <w:r>
        <w:rPr>
          <w:rFonts w:hint="eastAsia"/>
          <w:szCs w:val="21"/>
        </w:rPr>
        <w:t>法人治理</w:t>
      </w:r>
      <w:r>
        <w:tab/>
      </w:r>
      <w:r>
        <w:fldChar w:fldCharType="begin"/>
      </w:r>
      <w:r>
        <w:instrText xml:space="preserve"> PAGEREF _Toc19166 \h </w:instrText>
      </w:r>
      <w:r>
        <w:fldChar w:fldCharType="separate"/>
      </w:r>
      <w:r>
        <w:t>4</w:t>
      </w:r>
      <w:r>
        <w:fldChar w:fldCharType="end"/>
      </w:r>
      <w:r>
        <w:rPr>
          <w:rFonts w:hint="eastAsia" w:ascii="宋体" w:hAnsi="宋体" w:eastAsia="宋体" w:cs="宋体"/>
          <w:color w:val="auto"/>
        </w:rPr>
        <w:fldChar w:fldCharType="end"/>
      </w:r>
    </w:p>
    <w:p w14:paraId="160B4666">
      <w:pPr>
        <w:pStyle w:val="27"/>
        <w:tabs>
          <w:tab w:val="right" w:leader="dot" w:pos="9354"/>
          <w:tab w:val="clear" w:pos="9344"/>
        </w:tabs>
      </w:pPr>
      <w:r>
        <w:rPr>
          <w:rFonts w:hint="eastAsia" w:ascii="宋体" w:hAnsi="宋体" w:eastAsia="宋体" w:cs="宋体"/>
          <w:color w:val="auto"/>
        </w:rPr>
        <w:fldChar w:fldCharType="begin"/>
      </w:r>
      <w:r>
        <w:rPr>
          <w:rFonts w:hint="eastAsia" w:ascii="宋体" w:hAnsi="宋体" w:eastAsia="宋体" w:cs="宋体"/>
        </w:rPr>
        <w:instrText xml:space="preserve"> HYPERLINK \l _Toc10737 </w:instrText>
      </w:r>
      <w:r>
        <w:rPr>
          <w:rFonts w:hint="eastAsia" w:ascii="宋体" w:hAnsi="宋体" w:eastAsia="宋体" w:cs="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 </w:t>
      </w:r>
      <w:r>
        <w:rPr>
          <w:rFonts w:hint="eastAsia"/>
        </w:rPr>
        <w:t>党组织建设</w:t>
      </w:r>
      <w:r>
        <w:tab/>
      </w:r>
      <w:r>
        <w:fldChar w:fldCharType="begin"/>
      </w:r>
      <w:r>
        <w:instrText xml:space="preserve"> PAGEREF _Toc10737 \h </w:instrText>
      </w:r>
      <w:r>
        <w:fldChar w:fldCharType="separate"/>
      </w:r>
      <w:r>
        <w:t>4</w:t>
      </w:r>
      <w:r>
        <w:fldChar w:fldCharType="end"/>
      </w:r>
      <w:r>
        <w:rPr>
          <w:rFonts w:hint="eastAsia" w:ascii="宋体" w:hAnsi="宋体" w:eastAsia="宋体" w:cs="宋体"/>
          <w:color w:val="auto"/>
        </w:rPr>
        <w:fldChar w:fldCharType="end"/>
      </w:r>
    </w:p>
    <w:p w14:paraId="3D6486B8">
      <w:pPr>
        <w:pStyle w:val="17"/>
        <w:tabs>
          <w:tab w:val="right" w:leader="dot" w:pos="9354"/>
        </w:tabs>
      </w:pPr>
      <w:r>
        <w:rPr>
          <w:rFonts w:hint="eastAsia" w:ascii="宋体" w:hAnsi="宋体" w:eastAsia="宋体" w:cs="宋体"/>
          <w:color w:val="auto"/>
        </w:rPr>
        <w:fldChar w:fldCharType="begin"/>
      </w:r>
      <w:r>
        <w:rPr>
          <w:rFonts w:hint="eastAsia" w:ascii="宋体" w:hAnsi="宋体" w:eastAsia="宋体" w:cs="宋体"/>
        </w:rPr>
        <w:instrText xml:space="preserve"> HYPERLINK \l _Toc11922 </w:instrText>
      </w:r>
      <w:r>
        <w:rPr>
          <w:rFonts w:hint="eastAsia" w:ascii="宋体" w:hAnsi="宋体" w:eastAsia="宋体" w:cs="宋体"/>
        </w:rPr>
        <w:fldChar w:fldCharType="separate"/>
      </w:r>
      <w:r>
        <w:rPr>
          <w:rFonts w:hint="default" w:ascii="黑体" w:eastAsia="黑体"/>
          <w:i w:val="0"/>
        </w:rPr>
        <w:t xml:space="preserve">4.1.1 </w:t>
      </w:r>
      <w:r>
        <w:rPr>
          <w:rFonts w:hint="eastAsia"/>
        </w:rPr>
        <w:t>组建要求</w:t>
      </w:r>
      <w:r>
        <w:tab/>
      </w:r>
      <w:r>
        <w:fldChar w:fldCharType="begin"/>
      </w:r>
      <w:r>
        <w:instrText xml:space="preserve"> PAGEREF _Toc11922 \h </w:instrText>
      </w:r>
      <w:r>
        <w:fldChar w:fldCharType="separate"/>
      </w:r>
      <w:r>
        <w:t>4</w:t>
      </w:r>
      <w:r>
        <w:fldChar w:fldCharType="end"/>
      </w:r>
      <w:r>
        <w:rPr>
          <w:rFonts w:hint="eastAsia" w:ascii="宋体" w:hAnsi="宋体" w:eastAsia="宋体" w:cs="宋体"/>
          <w:color w:val="auto"/>
        </w:rPr>
        <w:fldChar w:fldCharType="end"/>
      </w:r>
    </w:p>
    <w:p w14:paraId="3EF4B4CC">
      <w:pPr>
        <w:pStyle w:val="17"/>
        <w:tabs>
          <w:tab w:val="right" w:leader="dot" w:pos="9354"/>
        </w:tabs>
      </w:pPr>
      <w:r>
        <w:rPr>
          <w:rFonts w:hint="eastAsia" w:ascii="宋体" w:hAnsi="宋体" w:eastAsia="宋体" w:cs="宋体"/>
          <w:color w:val="auto"/>
        </w:rPr>
        <w:fldChar w:fldCharType="begin"/>
      </w:r>
      <w:r>
        <w:rPr>
          <w:rFonts w:hint="eastAsia" w:ascii="宋体" w:hAnsi="宋体" w:eastAsia="宋体" w:cs="宋体"/>
        </w:rPr>
        <w:instrText xml:space="preserve"> HYPERLINK \l _Toc29014 </w:instrText>
      </w:r>
      <w:r>
        <w:rPr>
          <w:rFonts w:hint="eastAsia" w:ascii="宋体" w:hAnsi="宋体" w:eastAsia="宋体" w:cs="宋体"/>
        </w:rPr>
        <w:fldChar w:fldCharType="separate"/>
      </w:r>
      <w:r>
        <w:rPr>
          <w:rFonts w:hint="default" w:ascii="黑体" w:eastAsia="黑体"/>
          <w:i w:val="0"/>
        </w:rPr>
        <w:t xml:space="preserve">4.1.2 </w:t>
      </w:r>
      <w:r>
        <w:rPr>
          <w:rFonts w:hint="eastAsia"/>
        </w:rPr>
        <w:t>管理要求</w:t>
      </w:r>
      <w:r>
        <w:tab/>
      </w:r>
      <w:r>
        <w:fldChar w:fldCharType="begin"/>
      </w:r>
      <w:r>
        <w:instrText xml:space="preserve"> PAGEREF _Toc29014 \h </w:instrText>
      </w:r>
      <w:r>
        <w:fldChar w:fldCharType="separate"/>
      </w:r>
      <w:r>
        <w:t>5</w:t>
      </w:r>
      <w:r>
        <w:fldChar w:fldCharType="end"/>
      </w:r>
      <w:r>
        <w:rPr>
          <w:rFonts w:hint="eastAsia" w:ascii="宋体" w:hAnsi="宋体" w:eastAsia="宋体" w:cs="宋体"/>
          <w:color w:val="auto"/>
        </w:rPr>
        <w:fldChar w:fldCharType="end"/>
      </w:r>
    </w:p>
    <w:p w14:paraId="2F6CDD13">
      <w:pPr>
        <w:pStyle w:val="27"/>
        <w:tabs>
          <w:tab w:val="right" w:leader="dot" w:pos="9354"/>
          <w:tab w:val="clear" w:pos="9344"/>
        </w:tabs>
      </w:pPr>
      <w:r>
        <w:rPr>
          <w:rFonts w:hint="eastAsia" w:ascii="宋体" w:hAnsi="宋体" w:eastAsia="宋体" w:cs="宋体"/>
          <w:color w:val="auto"/>
        </w:rPr>
        <w:fldChar w:fldCharType="begin"/>
      </w:r>
      <w:r>
        <w:rPr>
          <w:rFonts w:hint="eastAsia" w:ascii="宋体" w:hAnsi="宋体" w:eastAsia="宋体" w:cs="宋体"/>
        </w:rPr>
        <w:instrText xml:space="preserve"> HYPERLINK \l _Toc21632 </w:instrText>
      </w:r>
      <w:r>
        <w:rPr>
          <w:rFonts w:hint="eastAsia" w:ascii="宋体" w:hAnsi="宋体" w:eastAsia="宋体" w:cs="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4.2 </w:t>
      </w:r>
      <w:r>
        <w:rPr>
          <w:rFonts w:hint="eastAsia"/>
        </w:rPr>
        <w:t>机构建设</w:t>
      </w:r>
      <w:r>
        <w:tab/>
      </w:r>
      <w:r>
        <w:fldChar w:fldCharType="begin"/>
      </w:r>
      <w:r>
        <w:instrText xml:space="preserve"> PAGEREF _Toc21632 \h </w:instrText>
      </w:r>
      <w:r>
        <w:fldChar w:fldCharType="separate"/>
      </w:r>
      <w:r>
        <w:t>5</w:t>
      </w:r>
      <w:r>
        <w:fldChar w:fldCharType="end"/>
      </w:r>
      <w:r>
        <w:rPr>
          <w:rFonts w:hint="eastAsia" w:ascii="宋体" w:hAnsi="宋体" w:eastAsia="宋体" w:cs="宋体"/>
          <w:color w:val="auto"/>
        </w:rPr>
        <w:fldChar w:fldCharType="end"/>
      </w:r>
    </w:p>
    <w:p w14:paraId="220F85E5">
      <w:pPr>
        <w:pStyle w:val="17"/>
        <w:tabs>
          <w:tab w:val="right" w:leader="dot" w:pos="9354"/>
        </w:tabs>
      </w:pPr>
      <w:r>
        <w:rPr>
          <w:rFonts w:hint="eastAsia" w:ascii="宋体" w:hAnsi="宋体" w:eastAsia="宋体" w:cs="宋体"/>
          <w:color w:val="auto"/>
        </w:rPr>
        <w:fldChar w:fldCharType="begin"/>
      </w:r>
      <w:r>
        <w:rPr>
          <w:rFonts w:hint="eastAsia" w:ascii="宋体" w:hAnsi="宋体" w:eastAsia="宋体" w:cs="宋体"/>
        </w:rPr>
        <w:instrText xml:space="preserve"> HYPERLINK \l _Toc4176 </w:instrText>
      </w:r>
      <w:r>
        <w:rPr>
          <w:rFonts w:hint="eastAsia" w:ascii="宋体" w:hAnsi="宋体" w:eastAsia="宋体" w:cs="宋体"/>
        </w:rPr>
        <w:fldChar w:fldCharType="separate"/>
      </w:r>
      <w:r>
        <w:rPr>
          <w:rFonts w:hint="default" w:ascii="黑体" w:eastAsia="黑体"/>
          <w:i w:val="0"/>
        </w:rPr>
        <w:t xml:space="preserve">4.2.1 </w:t>
      </w:r>
      <w:r>
        <w:rPr>
          <w:rFonts w:hint="eastAsia"/>
        </w:rPr>
        <w:t>权</w:t>
      </w:r>
      <w:r>
        <w:rPr>
          <w:rFonts w:hint="eastAsia"/>
          <w:lang w:val="en-US" w:eastAsia="zh-CN"/>
        </w:rPr>
        <w:t>力</w:t>
      </w:r>
      <w:r>
        <w:rPr>
          <w:rFonts w:hint="eastAsia"/>
        </w:rPr>
        <w:t>机构</w:t>
      </w:r>
      <w:r>
        <w:tab/>
      </w:r>
      <w:r>
        <w:fldChar w:fldCharType="begin"/>
      </w:r>
      <w:r>
        <w:instrText xml:space="preserve"> PAGEREF _Toc4176 \h </w:instrText>
      </w:r>
      <w:r>
        <w:fldChar w:fldCharType="separate"/>
      </w:r>
      <w:r>
        <w:t>5</w:t>
      </w:r>
      <w:r>
        <w:fldChar w:fldCharType="end"/>
      </w:r>
      <w:r>
        <w:rPr>
          <w:rFonts w:hint="eastAsia" w:ascii="宋体" w:hAnsi="宋体" w:eastAsia="宋体" w:cs="宋体"/>
          <w:color w:val="auto"/>
        </w:rPr>
        <w:fldChar w:fldCharType="end"/>
      </w:r>
    </w:p>
    <w:p w14:paraId="45C2E70A">
      <w:pPr>
        <w:pStyle w:val="17"/>
        <w:tabs>
          <w:tab w:val="right" w:leader="dot" w:pos="9354"/>
        </w:tabs>
      </w:pPr>
      <w:r>
        <w:rPr>
          <w:rFonts w:hint="eastAsia" w:ascii="宋体" w:hAnsi="宋体" w:eastAsia="宋体" w:cs="宋体"/>
          <w:color w:val="auto"/>
        </w:rPr>
        <w:fldChar w:fldCharType="begin"/>
      </w:r>
      <w:r>
        <w:rPr>
          <w:rFonts w:hint="eastAsia" w:ascii="宋体" w:hAnsi="宋体" w:eastAsia="宋体" w:cs="宋体"/>
        </w:rPr>
        <w:instrText xml:space="preserve"> HYPERLINK \l _Toc13798 </w:instrText>
      </w:r>
      <w:r>
        <w:rPr>
          <w:rFonts w:hint="eastAsia" w:ascii="宋体" w:hAnsi="宋体" w:eastAsia="宋体" w:cs="宋体"/>
        </w:rPr>
        <w:fldChar w:fldCharType="separate"/>
      </w:r>
      <w:r>
        <w:rPr>
          <w:rFonts w:hint="default" w:ascii="黑体" w:eastAsia="黑体"/>
          <w:i w:val="0"/>
        </w:rPr>
        <w:t xml:space="preserve">4.2.2 </w:t>
      </w:r>
      <w:r>
        <w:rPr>
          <w:rFonts w:hint="eastAsia"/>
        </w:rPr>
        <w:t>执行机构</w:t>
      </w:r>
      <w:r>
        <w:tab/>
      </w:r>
      <w:r>
        <w:fldChar w:fldCharType="begin"/>
      </w:r>
      <w:r>
        <w:instrText xml:space="preserve"> PAGEREF _Toc13798 \h </w:instrText>
      </w:r>
      <w:r>
        <w:fldChar w:fldCharType="separate"/>
      </w:r>
      <w:r>
        <w:t>5</w:t>
      </w:r>
      <w:r>
        <w:fldChar w:fldCharType="end"/>
      </w:r>
      <w:r>
        <w:rPr>
          <w:rFonts w:hint="eastAsia" w:ascii="宋体" w:hAnsi="宋体" w:eastAsia="宋体" w:cs="宋体"/>
          <w:color w:val="auto"/>
        </w:rPr>
        <w:fldChar w:fldCharType="end"/>
      </w:r>
    </w:p>
    <w:p w14:paraId="266A255A">
      <w:pPr>
        <w:pStyle w:val="17"/>
        <w:tabs>
          <w:tab w:val="right" w:leader="dot" w:pos="9354"/>
        </w:tabs>
      </w:pPr>
      <w:r>
        <w:rPr>
          <w:rFonts w:hint="eastAsia" w:ascii="宋体" w:hAnsi="宋体" w:eastAsia="宋体" w:cs="宋体"/>
          <w:color w:val="auto"/>
        </w:rPr>
        <w:fldChar w:fldCharType="begin"/>
      </w:r>
      <w:r>
        <w:rPr>
          <w:rFonts w:hint="eastAsia" w:ascii="宋体" w:hAnsi="宋体" w:eastAsia="宋体" w:cs="宋体"/>
        </w:rPr>
        <w:instrText xml:space="preserve"> HYPERLINK \l _Toc24383 </w:instrText>
      </w:r>
      <w:r>
        <w:rPr>
          <w:rFonts w:hint="eastAsia" w:ascii="宋体" w:hAnsi="宋体" w:eastAsia="宋体" w:cs="宋体"/>
        </w:rPr>
        <w:fldChar w:fldCharType="separate"/>
      </w:r>
      <w:r>
        <w:rPr>
          <w:rFonts w:hint="default" w:ascii="黑体" w:eastAsia="黑体"/>
          <w:i w:val="0"/>
        </w:rPr>
        <w:t xml:space="preserve">4.2.3 </w:t>
      </w:r>
      <w:r>
        <w:rPr>
          <w:rFonts w:hint="eastAsia"/>
        </w:rPr>
        <w:t>监督机构</w:t>
      </w:r>
      <w:r>
        <w:tab/>
      </w:r>
      <w:r>
        <w:fldChar w:fldCharType="begin"/>
      </w:r>
      <w:r>
        <w:instrText xml:space="preserve"> PAGEREF _Toc24383 \h </w:instrText>
      </w:r>
      <w:r>
        <w:fldChar w:fldCharType="separate"/>
      </w:r>
      <w:r>
        <w:t>5</w:t>
      </w:r>
      <w:r>
        <w:fldChar w:fldCharType="end"/>
      </w:r>
      <w:r>
        <w:rPr>
          <w:rFonts w:hint="eastAsia" w:ascii="宋体" w:hAnsi="宋体" w:eastAsia="宋体" w:cs="宋体"/>
          <w:color w:val="auto"/>
        </w:rPr>
        <w:fldChar w:fldCharType="end"/>
      </w:r>
    </w:p>
    <w:p w14:paraId="24E524D7">
      <w:pPr>
        <w:pStyle w:val="17"/>
        <w:tabs>
          <w:tab w:val="right" w:leader="dot" w:pos="9354"/>
        </w:tabs>
      </w:pPr>
      <w:r>
        <w:rPr>
          <w:rFonts w:hint="eastAsia" w:ascii="宋体" w:hAnsi="宋体" w:eastAsia="宋体" w:cs="宋体"/>
          <w:color w:val="auto"/>
        </w:rPr>
        <w:fldChar w:fldCharType="begin"/>
      </w:r>
      <w:r>
        <w:rPr>
          <w:rFonts w:hint="eastAsia" w:ascii="宋体" w:hAnsi="宋体" w:eastAsia="宋体" w:cs="宋体"/>
        </w:rPr>
        <w:instrText xml:space="preserve"> HYPERLINK \l _Toc25945 </w:instrText>
      </w:r>
      <w:r>
        <w:rPr>
          <w:rFonts w:hint="eastAsia" w:ascii="宋体" w:hAnsi="宋体" w:eastAsia="宋体" w:cs="宋体"/>
        </w:rPr>
        <w:fldChar w:fldCharType="separate"/>
      </w:r>
      <w:r>
        <w:rPr>
          <w:rFonts w:hint="default" w:ascii="黑体" w:eastAsia="黑体"/>
          <w:i w:val="0"/>
        </w:rPr>
        <w:t xml:space="preserve">4.2.4 </w:t>
      </w:r>
      <w:r>
        <w:rPr>
          <w:rFonts w:hint="eastAsia"/>
        </w:rPr>
        <w:t>负责人队伍</w:t>
      </w:r>
      <w:r>
        <w:tab/>
      </w:r>
      <w:r>
        <w:fldChar w:fldCharType="begin"/>
      </w:r>
      <w:r>
        <w:instrText xml:space="preserve"> PAGEREF _Toc25945 \h </w:instrText>
      </w:r>
      <w:r>
        <w:fldChar w:fldCharType="separate"/>
      </w:r>
      <w:r>
        <w:t>6</w:t>
      </w:r>
      <w:r>
        <w:fldChar w:fldCharType="end"/>
      </w:r>
      <w:r>
        <w:rPr>
          <w:rFonts w:hint="eastAsia" w:ascii="宋体" w:hAnsi="宋体" w:eastAsia="宋体" w:cs="宋体"/>
          <w:color w:val="auto"/>
        </w:rPr>
        <w:fldChar w:fldCharType="end"/>
      </w:r>
    </w:p>
    <w:p w14:paraId="32D07F0A">
      <w:pPr>
        <w:pStyle w:val="17"/>
        <w:tabs>
          <w:tab w:val="right" w:leader="dot" w:pos="9354"/>
        </w:tabs>
      </w:pPr>
      <w:r>
        <w:rPr>
          <w:rFonts w:hint="eastAsia" w:ascii="宋体" w:hAnsi="宋体" w:eastAsia="宋体" w:cs="宋体"/>
          <w:color w:val="auto"/>
        </w:rPr>
        <w:fldChar w:fldCharType="begin"/>
      </w:r>
      <w:r>
        <w:rPr>
          <w:rFonts w:hint="eastAsia" w:ascii="宋体" w:hAnsi="宋体" w:eastAsia="宋体" w:cs="宋体"/>
        </w:rPr>
        <w:instrText xml:space="preserve"> HYPERLINK \l _Toc6990 </w:instrText>
      </w:r>
      <w:r>
        <w:rPr>
          <w:rFonts w:hint="eastAsia" w:ascii="宋体" w:hAnsi="宋体" w:eastAsia="宋体" w:cs="宋体"/>
        </w:rPr>
        <w:fldChar w:fldCharType="separate"/>
      </w:r>
      <w:r>
        <w:rPr>
          <w:rFonts w:hint="default" w:ascii="黑体" w:eastAsia="黑体"/>
          <w:i w:val="0"/>
        </w:rPr>
        <w:t xml:space="preserve">4.2.5 </w:t>
      </w:r>
      <w:r>
        <w:rPr>
          <w:rFonts w:hint="eastAsia"/>
        </w:rPr>
        <w:t>内部机构</w:t>
      </w:r>
      <w:r>
        <w:tab/>
      </w:r>
      <w:r>
        <w:fldChar w:fldCharType="begin"/>
      </w:r>
      <w:r>
        <w:instrText xml:space="preserve"> PAGEREF _Toc6990 \h </w:instrText>
      </w:r>
      <w:r>
        <w:fldChar w:fldCharType="separate"/>
      </w:r>
      <w:r>
        <w:t>6</w:t>
      </w:r>
      <w:r>
        <w:fldChar w:fldCharType="end"/>
      </w:r>
      <w:r>
        <w:rPr>
          <w:rFonts w:hint="eastAsia" w:ascii="宋体" w:hAnsi="宋体" w:eastAsia="宋体" w:cs="宋体"/>
          <w:color w:val="auto"/>
        </w:rPr>
        <w:fldChar w:fldCharType="end"/>
      </w:r>
    </w:p>
    <w:p w14:paraId="0F4717BB">
      <w:pPr>
        <w:pStyle w:val="17"/>
        <w:tabs>
          <w:tab w:val="right" w:leader="dot" w:pos="9354"/>
        </w:tabs>
      </w:pPr>
      <w:r>
        <w:rPr>
          <w:rFonts w:hint="eastAsia" w:ascii="宋体" w:hAnsi="宋体" w:eastAsia="宋体" w:cs="宋体"/>
          <w:color w:val="auto"/>
        </w:rPr>
        <w:fldChar w:fldCharType="begin"/>
      </w:r>
      <w:r>
        <w:rPr>
          <w:rFonts w:hint="eastAsia" w:ascii="宋体" w:hAnsi="宋体" w:eastAsia="宋体" w:cs="宋体"/>
        </w:rPr>
        <w:instrText xml:space="preserve"> HYPERLINK \l _Toc29842 </w:instrText>
      </w:r>
      <w:r>
        <w:rPr>
          <w:rFonts w:hint="eastAsia" w:ascii="宋体" w:hAnsi="宋体" w:eastAsia="宋体" w:cs="宋体"/>
        </w:rPr>
        <w:fldChar w:fldCharType="separate"/>
      </w:r>
      <w:r>
        <w:rPr>
          <w:rFonts w:hint="default" w:ascii="黑体" w:eastAsia="黑体"/>
          <w:i w:val="0"/>
        </w:rPr>
        <w:t xml:space="preserve">4.2.6 </w:t>
      </w:r>
      <w:r>
        <w:rPr>
          <w:rFonts w:hint="eastAsia"/>
        </w:rPr>
        <w:t>分支（代表）机构</w:t>
      </w:r>
      <w:r>
        <w:tab/>
      </w:r>
      <w:r>
        <w:fldChar w:fldCharType="begin"/>
      </w:r>
      <w:r>
        <w:instrText xml:space="preserve"> PAGEREF _Toc29842 \h </w:instrText>
      </w:r>
      <w:r>
        <w:fldChar w:fldCharType="separate"/>
      </w:r>
      <w:r>
        <w:t>6</w:t>
      </w:r>
      <w:r>
        <w:fldChar w:fldCharType="end"/>
      </w:r>
      <w:r>
        <w:rPr>
          <w:rFonts w:hint="eastAsia" w:ascii="宋体" w:hAnsi="宋体" w:eastAsia="宋体" w:cs="宋体"/>
          <w:color w:val="auto"/>
        </w:rPr>
        <w:fldChar w:fldCharType="end"/>
      </w:r>
    </w:p>
    <w:p w14:paraId="26244579">
      <w:pPr>
        <w:pStyle w:val="27"/>
        <w:tabs>
          <w:tab w:val="right" w:leader="dot" w:pos="9354"/>
          <w:tab w:val="clear" w:pos="9344"/>
        </w:tabs>
      </w:pPr>
      <w:r>
        <w:rPr>
          <w:rFonts w:hint="eastAsia" w:ascii="宋体" w:hAnsi="宋体" w:eastAsia="宋体" w:cs="宋体"/>
          <w:color w:val="auto"/>
        </w:rPr>
        <w:fldChar w:fldCharType="begin"/>
      </w:r>
      <w:r>
        <w:rPr>
          <w:rFonts w:hint="eastAsia" w:ascii="宋体" w:hAnsi="宋体" w:eastAsia="宋体" w:cs="宋体"/>
        </w:rPr>
        <w:instrText xml:space="preserve"> HYPERLINK \l _Toc15243 </w:instrText>
      </w:r>
      <w:r>
        <w:rPr>
          <w:rFonts w:hint="eastAsia" w:ascii="宋体" w:hAnsi="宋体" w:eastAsia="宋体" w:cs="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4.3 </w:t>
      </w:r>
      <w:r>
        <w:rPr>
          <w:rFonts w:hint="eastAsia"/>
        </w:rPr>
        <w:t>内部制度</w:t>
      </w:r>
      <w:r>
        <w:rPr>
          <w:rFonts w:hint="eastAsia"/>
          <w:lang w:val="en-US" w:eastAsia="zh-CN"/>
        </w:rPr>
        <w:t>建设</w:t>
      </w:r>
      <w:r>
        <w:tab/>
      </w:r>
      <w:r>
        <w:fldChar w:fldCharType="begin"/>
      </w:r>
      <w:r>
        <w:instrText xml:space="preserve"> PAGEREF _Toc15243 \h </w:instrText>
      </w:r>
      <w:r>
        <w:fldChar w:fldCharType="separate"/>
      </w:r>
      <w:r>
        <w:t>6</w:t>
      </w:r>
      <w:r>
        <w:fldChar w:fldCharType="end"/>
      </w:r>
      <w:r>
        <w:rPr>
          <w:rFonts w:hint="eastAsia" w:ascii="宋体" w:hAnsi="宋体" w:eastAsia="宋体" w:cs="宋体"/>
          <w:color w:val="auto"/>
        </w:rPr>
        <w:fldChar w:fldCharType="end"/>
      </w:r>
    </w:p>
    <w:p w14:paraId="5C13A97B">
      <w:pPr>
        <w:pStyle w:val="17"/>
        <w:tabs>
          <w:tab w:val="right" w:leader="dot" w:pos="9354"/>
        </w:tabs>
      </w:pPr>
      <w:r>
        <w:rPr>
          <w:rFonts w:hint="eastAsia" w:ascii="宋体" w:hAnsi="宋体" w:eastAsia="宋体" w:cs="宋体"/>
          <w:color w:val="auto"/>
        </w:rPr>
        <w:fldChar w:fldCharType="begin"/>
      </w:r>
      <w:r>
        <w:rPr>
          <w:rFonts w:hint="eastAsia" w:ascii="宋体" w:hAnsi="宋体" w:eastAsia="宋体" w:cs="宋体"/>
        </w:rPr>
        <w:instrText xml:space="preserve"> HYPERLINK \l _Toc25022 </w:instrText>
      </w:r>
      <w:r>
        <w:rPr>
          <w:rFonts w:hint="eastAsia" w:ascii="宋体" w:hAnsi="宋体" w:eastAsia="宋体" w:cs="宋体"/>
        </w:rPr>
        <w:fldChar w:fldCharType="separate"/>
      </w:r>
      <w:r>
        <w:rPr>
          <w:rFonts w:hint="default" w:ascii="黑体" w:eastAsia="黑体"/>
          <w:i w:val="0"/>
        </w:rPr>
        <w:t xml:space="preserve">4.3.1 </w:t>
      </w:r>
      <w:r>
        <w:rPr>
          <w:rFonts w:hint="eastAsia"/>
          <w:lang w:val="en-US" w:eastAsia="zh-CN"/>
        </w:rPr>
        <w:t>制度建设</w:t>
      </w:r>
      <w:r>
        <w:tab/>
      </w:r>
      <w:r>
        <w:fldChar w:fldCharType="begin"/>
      </w:r>
      <w:r>
        <w:instrText xml:space="preserve"> PAGEREF _Toc25022 \h </w:instrText>
      </w:r>
      <w:r>
        <w:fldChar w:fldCharType="separate"/>
      </w:r>
      <w:r>
        <w:t>6</w:t>
      </w:r>
      <w:r>
        <w:fldChar w:fldCharType="end"/>
      </w:r>
      <w:r>
        <w:rPr>
          <w:rFonts w:hint="eastAsia" w:ascii="宋体" w:hAnsi="宋体" w:eastAsia="宋体" w:cs="宋体"/>
          <w:color w:val="auto"/>
        </w:rPr>
        <w:fldChar w:fldCharType="end"/>
      </w:r>
    </w:p>
    <w:p w14:paraId="1F9E92BA">
      <w:pPr>
        <w:pStyle w:val="17"/>
        <w:tabs>
          <w:tab w:val="right" w:leader="dot" w:pos="9354"/>
        </w:tabs>
      </w:pPr>
      <w:r>
        <w:rPr>
          <w:rFonts w:hint="eastAsia" w:ascii="宋体" w:hAnsi="宋体" w:eastAsia="宋体" w:cs="宋体"/>
          <w:color w:val="auto"/>
        </w:rPr>
        <w:fldChar w:fldCharType="begin"/>
      </w:r>
      <w:r>
        <w:rPr>
          <w:rFonts w:hint="eastAsia" w:ascii="宋体" w:hAnsi="宋体" w:eastAsia="宋体" w:cs="宋体"/>
        </w:rPr>
        <w:instrText xml:space="preserve"> HYPERLINK \l _Toc25469 </w:instrText>
      </w:r>
      <w:r>
        <w:rPr>
          <w:rFonts w:hint="eastAsia" w:ascii="宋体" w:hAnsi="宋体" w:eastAsia="宋体" w:cs="宋体"/>
        </w:rPr>
        <w:fldChar w:fldCharType="separate"/>
      </w:r>
      <w:r>
        <w:rPr>
          <w:rFonts w:hint="default" w:ascii="黑体" w:eastAsia="黑体"/>
          <w:i w:val="0"/>
        </w:rPr>
        <w:t xml:space="preserve">4.3.2 </w:t>
      </w:r>
      <w:r>
        <w:rPr>
          <w:rFonts w:hint="eastAsia"/>
        </w:rPr>
        <w:t>章程</w:t>
      </w:r>
      <w:r>
        <w:tab/>
      </w:r>
      <w:r>
        <w:fldChar w:fldCharType="begin"/>
      </w:r>
      <w:r>
        <w:instrText xml:space="preserve"> PAGEREF _Toc25469 \h </w:instrText>
      </w:r>
      <w:r>
        <w:fldChar w:fldCharType="separate"/>
      </w:r>
      <w:r>
        <w:t>7</w:t>
      </w:r>
      <w:r>
        <w:fldChar w:fldCharType="end"/>
      </w:r>
      <w:r>
        <w:rPr>
          <w:rFonts w:hint="eastAsia" w:ascii="宋体" w:hAnsi="宋体" w:eastAsia="宋体" w:cs="宋体"/>
          <w:color w:val="auto"/>
        </w:rPr>
        <w:fldChar w:fldCharType="end"/>
      </w:r>
    </w:p>
    <w:p w14:paraId="46E1BE9C">
      <w:pPr>
        <w:pStyle w:val="27"/>
        <w:tabs>
          <w:tab w:val="right" w:leader="dot" w:pos="9354"/>
          <w:tab w:val="clear" w:pos="9344"/>
        </w:tabs>
      </w:pPr>
      <w:r>
        <w:rPr>
          <w:rFonts w:hint="eastAsia" w:ascii="宋体" w:hAnsi="宋体" w:eastAsia="宋体" w:cs="宋体"/>
          <w:color w:val="auto"/>
        </w:rPr>
        <w:fldChar w:fldCharType="begin"/>
      </w:r>
      <w:r>
        <w:rPr>
          <w:rFonts w:hint="eastAsia" w:ascii="宋体" w:hAnsi="宋体" w:eastAsia="宋体" w:cs="宋体"/>
        </w:rPr>
        <w:instrText xml:space="preserve"> HYPERLINK \l _Toc4140 </w:instrText>
      </w:r>
      <w:r>
        <w:rPr>
          <w:rFonts w:hint="eastAsia" w:ascii="宋体" w:hAnsi="宋体" w:eastAsia="宋体" w:cs="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4.4 </w:t>
      </w:r>
      <w:r>
        <w:rPr>
          <w:rFonts w:hint="eastAsia"/>
          <w:lang w:val="en-US" w:eastAsia="zh-CN"/>
        </w:rPr>
        <w:t>诚信建设</w:t>
      </w:r>
      <w:r>
        <w:tab/>
      </w:r>
      <w:r>
        <w:fldChar w:fldCharType="begin"/>
      </w:r>
      <w:r>
        <w:instrText xml:space="preserve"> PAGEREF _Toc4140 \h </w:instrText>
      </w:r>
      <w:r>
        <w:fldChar w:fldCharType="separate"/>
      </w:r>
      <w:r>
        <w:t>7</w:t>
      </w:r>
      <w:r>
        <w:fldChar w:fldCharType="end"/>
      </w:r>
      <w:r>
        <w:rPr>
          <w:rFonts w:hint="eastAsia" w:ascii="宋体" w:hAnsi="宋体" w:eastAsia="宋体" w:cs="宋体"/>
          <w:color w:val="auto"/>
        </w:rPr>
        <w:fldChar w:fldCharType="end"/>
      </w:r>
    </w:p>
    <w:p w14:paraId="6760DB48">
      <w:pPr>
        <w:pStyle w:val="22"/>
        <w:tabs>
          <w:tab w:val="right" w:leader="dot" w:pos="9354"/>
        </w:tabs>
      </w:pPr>
      <w:r>
        <w:rPr>
          <w:rFonts w:hint="eastAsia" w:ascii="宋体" w:hAnsi="宋体" w:eastAsia="宋体" w:cs="宋体"/>
          <w:color w:val="auto"/>
        </w:rPr>
        <w:fldChar w:fldCharType="begin"/>
      </w:r>
      <w:r>
        <w:rPr>
          <w:rFonts w:hint="eastAsia" w:ascii="宋体" w:hAnsi="宋体" w:eastAsia="宋体" w:cs="宋体"/>
        </w:rPr>
        <w:instrText xml:space="preserve"> HYPERLINK \l _Toc1933 </w:instrText>
      </w:r>
      <w:r>
        <w:rPr>
          <w:rFonts w:hint="eastAsia" w:ascii="宋体" w:hAnsi="宋体" w:eastAsia="宋体" w:cs="宋体"/>
        </w:rPr>
        <w:fldChar w:fldCharType="separate"/>
      </w:r>
      <w:r>
        <w:rPr>
          <w:rFonts w:hint="eastAsia" w:ascii="黑体" w:eastAsia="黑体"/>
          <w:i w:val="0"/>
        </w:rPr>
        <w:t xml:space="preserve">5 </w:t>
      </w:r>
      <w:r>
        <w:rPr>
          <w:rFonts w:hint="eastAsia"/>
        </w:rPr>
        <w:t>管理要求</w:t>
      </w:r>
      <w:r>
        <w:tab/>
      </w:r>
      <w:r>
        <w:fldChar w:fldCharType="begin"/>
      </w:r>
      <w:r>
        <w:instrText xml:space="preserve"> PAGEREF _Toc1933 \h </w:instrText>
      </w:r>
      <w:r>
        <w:fldChar w:fldCharType="separate"/>
      </w:r>
      <w:r>
        <w:t>8</w:t>
      </w:r>
      <w:r>
        <w:fldChar w:fldCharType="end"/>
      </w:r>
      <w:r>
        <w:rPr>
          <w:rFonts w:hint="eastAsia" w:ascii="宋体" w:hAnsi="宋体" w:eastAsia="宋体" w:cs="宋体"/>
          <w:color w:val="auto"/>
        </w:rPr>
        <w:fldChar w:fldCharType="end"/>
      </w:r>
    </w:p>
    <w:p w14:paraId="26E3B0D6">
      <w:pPr>
        <w:pStyle w:val="27"/>
        <w:tabs>
          <w:tab w:val="right" w:leader="dot" w:pos="9354"/>
          <w:tab w:val="clear" w:pos="9344"/>
        </w:tabs>
      </w:pPr>
      <w:r>
        <w:rPr>
          <w:rFonts w:hint="eastAsia" w:ascii="宋体" w:hAnsi="宋体" w:eastAsia="宋体" w:cs="宋体"/>
          <w:color w:val="auto"/>
        </w:rPr>
        <w:fldChar w:fldCharType="begin"/>
      </w:r>
      <w:r>
        <w:rPr>
          <w:rFonts w:hint="eastAsia" w:ascii="宋体" w:hAnsi="宋体" w:eastAsia="宋体" w:cs="宋体"/>
        </w:rPr>
        <w:instrText xml:space="preserve"> HYPERLINK \l _Toc12175 </w:instrText>
      </w:r>
      <w:r>
        <w:rPr>
          <w:rFonts w:hint="eastAsia" w:ascii="宋体" w:hAnsi="宋体" w:eastAsia="宋体" w:cs="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eastAsia"/>
          <w:lang w:val="en-US" w:eastAsia="zh-CN"/>
        </w:rPr>
        <w:t>战略管理</w:t>
      </w:r>
      <w:r>
        <w:tab/>
      </w:r>
      <w:r>
        <w:fldChar w:fldCharType="begin"/>
      </w:r>
      <w:r>
        <w:instrText xml:space="preserve"> PAGEREF _Toc12175 \h </w:instrText>
      </w:r>
      <w:r>
        <w:fldChar w:fldCharType="separate"/>
      </w:r>
      <w:r>
        <w:t>8</w:t>
      </w:r>
      <w:r>
        <w:fldChar w:fldCharType="end"/>
      </w:r>
      <w:r>
        <w:rPr>
          <w:rFonts w:hint="eastAsia" w:ascii="宋体" w:hAnsi="宋体" w:eastAsia="宋体" w:cs="宋体"/>
          <w:color w:val="auto"/>
        </w:rPr>
        <w:fldChar w:fldCharType="end"/>
      </w:r>
    </w:p>
    <w:p w14:paraId="03E54041">
      <w:pPr>
        <w:pStyle w:val="17"/>
        <w:tabs>
          <w:tab w:val="right" w:leader="dot" w:pos="9354"/>
        </w:tabs>
      </w:pPr>
      <w:r>
        <w:rPr>
          <w:rFonts w:hint="eastAsia" w:ascii="宋体" w:hAnsi="宋体" w:eastAsia="宋体" w:cs="宋体"/>
          <w:color w:val="auto"/>
        </w:rPr>
        <w:fldChar w:fldCharType="begin"/>
      </w:r>
      <w:r>
        <w:rPr>
          <w:rFonts w:hint="eastAsia" w:ascii="宋体" w:hAnsi="宋体" w:eastAsia="宋体" w:cs="宋体"/>
        </w:rPr>
        <w:instrText xml:space="preserve"> HYPERLINK \l _Toc14798 </w:instrText>
      </w:r>
      <w:r>
        <w:rPr>
          <w:rFonts w:hint="eastAsia" w:ascii="宋体" w:hAnsi="宋体" w:eastAsia="宋体" w:cs="宋体"/>
        </w:rPr>
        <w:fldChar w:fldCharType="separate"/>
      </w:r>
      <w:r>
        <w:rPr>
          <w:rFonts w:hint="default" w:ascii="黑体" w:eastAsia="黑体"/>
          <w:i w:val="0"/>
        </w:rPr>
        <w:t xml:space="preserve">5.1.1 </w:t>
      </w:r>
      <w:r>
        <w:rPr>
          <w:rFonts w:hint="eastAsia"/>
          <w:lang w:val="en-US" w:eastAsia="zh-CN"/>
        </w:rPr>
        <w:t>政策学习</w:t>
      </w:r>
      <w:r>
        <w:tab/>
      </w:r>
      <w:r>
        <w:fldChar w:fldCharType="begin"/>
      </w:r>
      <w:r>
        <w:instrText xml:space="preserve"> PAGEREF _Toc14798 \h </w:instrText>
      </w:r>
      <w:r>
        <w:fldChar w:fldCharType="separate"/>
      </w:r>
      <w:r>
        <w:t>8</w:t>
      </w:r>
      <w:r>
        <w:fldChar w:fldCharType="end"/>
      </w:r>
      <w:r>
        <w:rPr>
          <w:rFonts w:hint="eastAsia" w:ascii="宋体" w:hAnsi="宋体" w:eastAsia="宋体" w:cs="宋体"/>
          <w:color w:val="auto"/>
        </w:rPr>
        <w:fldChar w:fldCharType="end"/>
      </w:r>
    </w:p>
    <w:p w14:paraId="0AA41DF8">
      <w:pPr>
        <w:pStyle w:val="17"/>
        <w:tabs>
          <w:tab w:val="right" w:leader="dot" w:pos="9354"/>
        </w:tabs>
      </w:pPr>
      <w:r>
        <w:rPr>
          <w:rFonts w:hint="eastAsia" w:ascii="宋体" w:hAnsi="宋体" w:eastAsia="宋体" w:cs="宋体"/>
          <w:color w:val="auto"/>
        </w:rPr>
        <w:fldChar w:fldCharType="begin"/>
      </w:r>
      <w:r>
        <w:rPr>
          <w:rFonts w:hint="eastAsia" w:ascii="宋体" w:hAnsi="宋体" w:eastAsia="宋体" w:cs="宋体"/>
        </w:rPr>
        <w:instrText xml:space="preserve"> HYPERLINK \l _Toc20014 </w:instrText>
      </w:r>
      <w:r>
        <w:rPr>
          <w:rFonts w:hint="eastAsia" w:ascii="宋体" w:hAnsi="宋体" w:eastAsia="宋体" w:cs="宋体"/>
        </w:rPr>
        <w:fldChar w:fldCharType="separate"/>
      </w:r>
      <w:r>
        <w:rPr>
          <w:rFonts w:hint="default" w:ascii="黑体" w:eastAsia="黑体"/>
          <w:i w:val="0"/>
        </w:rPr>
        <w:t xml:space="preserve">5.1.2 </w:t>
      </w:r>
      <w:r>
        <w:rPr>
          <w:rFonts w:hint="eastAsia"/>
          <w:lang w:val="en-US" w:eastAsia="zh-CN"/>
        </w:rPr>
        <w:t>战略规划</w:t>
      </w:r>
      <w:r>
        <w:tab/>
      </w:r>
      <w:r>
        <w:fldChar w:fldCharType="begin"/>
      </w:r>
      <w:r>
        <w:instrText xml:space="preserve"> PAGEREF _Toc20014 \h </w:instrText>
      </w:r>
      <w:r>
        <w:fldChar w:fldCharType="separate"/>
      </w:r>
      <w:r>
        <w:t>8</w:t>
      </w:r>
      <w:r>
        <w:fldChar w:fldCharType="end"/>
      </w:r>
      <w:r>
        <w:rPr>
          <w:rFonts w:hint="eastAsia" w:ascii="宋体" w:hAnsi="宋体" w:eastAsia="宋体" w:cs="宋体"/>
          <w:color w:val="auto"/>
        </w:rPr>
        <w:fldChar w:fldCharType="end"/>
      </w:r>
    </w:p>
    <w:p w14:paraId="46E9338F">
      <w:pPr>
        <w:pStyle w:val="17"/>
        <w:tabs>
          <w:tab w:val="right" w:leader="dot" w:pos="9354"/>
        </w:tabs>
      </w:pPr>
      <w:r>
        <w:rPr>
          <w:rFonts w:hint="eastAsia" w:ascii="宋体" w:hAnsi="宋体" w:eastAsia="宋体" w:cs="宋体"/>
          <w:color w:val="auto"/>
        </w:rPr>
        <w:fldChar w:fldCharType="begin"/>
      </w:r>
      <w:r>
        <w:rPr>
          <w:rFonts w:hint="eastAsia" w:ascii="宋体" w:hAnsi="宋体" w:eastAsia="宋体" w:cs="宋体"/>
        </w:rPr>
        <w:instrText xml:space="preserve"> HYPERLINK \l _Toc2531 </w:instrText>
      </w:r>
      <w:r>
        <w:rPr>
          <w:rFonts w:hint="eastAsia" w:ascii="宋体" w:hAnsi="宋体" w:eastAsia="宋体" w:cs="宋体"/>
        </w:rPr>
        <w:fldChar w:fldCharType="separate"/>
      </w:r>
      <w:r>
        <w:rPr>
          <w:rFonts w:hint="default" w:ascii="黑体" w:eastAsia="黑体"/>
          <w:i w:val="0"/>
        </w:rPr>
        <w:t xml:space="preserve">5.1.3 </w:t>
      </w:r>
      <w:r>
        <w:rPr>
          <w:rFonts w:hint="eastAsia"/>
          <w:lang w:val="en-US" w:eastAsia="zh-CN"/>
        </w:rPr>
        <w:t>组织评估</w:t>
      </w:r>
      <w:r>
        <w:tab/>
      </w:r>
      <w:r>
        <w:fldChar w:fldCharType="begin"/>
      </w:r>
      <w:r>
        <w:instrText xml:space="preserve"> PAGEREF _Toc2531 \h </w:instrText>
      </w:r>
      <w:r>
        <w:fldChar w:fldCharType="separate"/>
      </w:r>
      <w:r>
        <w:t>8</w:t>
      </w:r>
      <w:r>
        <w:fldChar w:fldCharType="end"/>
      </w:r>
      <w:r>
        <w:rPr>
          <w:rFonts w:hint="eastAsia" w:ascii="宋体" w:hAnsi="宋体" w:eastAsia="宋体" w:cs="宋体"/>
          <w:color w:val="auto"/>
        </w:rPr>
        <w:fldChar w:fldCharType="end"/>
      </w:r>
    </w:p>
    <w:p w14:paraId="01C824E9">
      <w:pPr>
        <w:pStyle w:val="17"/>
        <w:tabs>
          <w:tab w:val="right" w:leader="dot" w:pos="9354"/>
        </w:tabs>
      </w:pPr>
      <w:r>
        <w:rPr>
          <w:rFonts w:hint="eastAsia" w:ascii="宋体" w:hAnsi="宋体" w:eastAsia="宋体" w:cs="宋体"/>
          <w:color w:val="auto"/>
        </w:rPr>
        <w:fldChar w:fldCharType="begin"/>
      </w:r>
      <w:r>
        <w:rPr>
          <w:rFonts w:hint="eastAsia" w:ascii="宋体" w:hAnsi="宋体" w:eastAsia="宋体" w:cs="宋体"/>
        </w:rPr>
        <w:instrText xml:space="preserve"> HYPERLINK \l _Toc30137 </w:instrText>
      </w:r>
      <w:r>
        <w:rPr>
          <w:rFonts w:hint="eastAsia" w:ascii="宋体" w:hAnsi="宋体" w:eastAsia="宋体" w:cs="宋体"/>
        </w:rPr>
        <w:fldChar w:fldCharType="separate"/>
      </w:r>
      <w:r>
        <w:rPr>
          <w:rFonts w:hint="default" w:ascii="黑体" w:eastAsia="黑体"/>
          <w:i w:val="0"/>
          <w:lang w:val="en-US" w:eastAsia="zh-CN"/>
        </w:rPr>
        <w:t xml:space="preserve">5.1.4 </w:t>
      </w:r>
      <w:r>
        <w:rPr>
          <w:rFonts w:hint="eastAsia"/>
          <w:lang w:val="en-US" w:eastAsia="zh-CN"/>
        </w:rPr>
        <w:t>文化建设</w:t>
      </w:r>
      <w:r>
        <w:tab/>
      </w:r>
      <w:r>
        <w:fldChar w:fldCharType="begin"/>
      </w:r>
      <w:r>
        <w:instrText xml:space="preserve"> PAGEREF _Toc30137 \h </w:instrText>
      </w:r>
      <w:r>
        <w:fldChar w:fldCharType="separate"/>
      </w:r>
      <w:r>
        <w:t>8</w:t>
      </w:r>
      <w:r>
        <w:fldChar w:fldCharType="end"/>
      </w:r>
      <w:r>
        <w:rPr>
          <w:rFonts w:hint="eastAsia" w:ascii="宋体" w:hAnsi="宋体" w:eastAsia="宋体" w:cs="宋体"/>
          <w:color w:val="auto"/>
        </w:rPr>
        <w:fldChar w:fldCharType="end"/>
      </w:r>
    </w:p>
    <w:p w14:paraId="5EDE7A59">
      <w:pPr>
        <w:pStyle w:val="27"/>
        <w:tabs>
          <w:tab w:val="right" w:leader="dot" w:pos="9354"/>
          <w:tab w:val="clear" w:pos="9344"/>
        </w:tabs>
      </w:pPr>
      <w:r>
        <w:rPr>
          <w:rFonts w:hint="eastAsia" w:ascii="宋体" w:hAnsi="宋体" w:eastAsia="宋体" w:cs="宋体"/>
          <w:color w:val="auto"/>
        </w:rPr>
        <w:fldChar w:fldCharType="begin"/>
      </w:r>
      <w:r>
        <w:rPr>
          <w:rFonts w:hint="eastAsia" w:ascii="宋体" w:hAnsi="宋体" w:eastAsia="宋体" w:cs="宋体"/>
        </w:rPr>
        <w:instrText xml:space="preserve"> HYPERLINK \l _Toc30983 </w:instrText>
      </w:r>
      <w:r>
        <w:rPr>
          <w:rFonts w:hint="eastAsia" w:ascii="宋体" w:hAnsi="宋体" w:eastAsia="宋体" w:cs="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eastAsia"/>
          <w:lang w:val="en-US" w:eastAsia="zh-CN"/>
        </w:rPr>
        <w:t>人力资源</w:t>
      </w:r>
      <w:r>
        <w:rPr>
          <w:rFonts w:hint="eastAsia"/>
        </w:rPr>
        <w:t>管理</w:t>
      </w:r>
      <w:r>
        <w:tab/>
      </w:r>
      <w:r>
        <w:fldChar w:fldCharType="begin"/>
      </w:r>
      <w:r>
        <w:instrText xml:space="preserve"> PAGEREF _Toc30983 \h </w:instrText>
      </w:r>
      <w:r>
        <w:fldChar w:fldCharType="separate"/>
      </w:r>
      <w:r>
        <w:t>8</w:t>
      </w:r>
      <w:r>
        <w:fldChar w:fldCharType="end"/>
      </w:r>
      <w:r>
        <w:rPr>
          <w:rFonts w:hint="eastAsia" w:ascii="宋体" w:hAnsi="宋体" w:eastAsia="宋体" w:cs="宋体"/>
          <w:color w:val="auto"/>
        </w:rPr>
        <w:fldChar w:fldCharType="end"/>
      </w:r>
    </w:p>
    <w:p w14:paraId="66EA16F5">
      <w:pPr>
        <w:pStyle w:val="17"/>
        <w:tabs>
          <w:tab w:val="right" w:leader="dot" w:pos="9354"/>
        </w:tabs>
      </w:pPr>
      <w:r>
        <w:rPr>
          <w:rFonts w:hint="eastAsia" w:ascii="宋体" w:hAnsi="宋体" w:eastAsia="宋体" w:cs="宋体"/>
          <w:color w:val="auto"/>
        </w:rPr>
        <w:fldChar w:fldCharType="begin"/>
      </w:r>
      <w:r>
        <w:rPr>
          <w:rFonts w:hint="eastAsia" w:ascii="宋体" w:hAnsi="宋体" w:eastAsia="宋体" w:cs="宋体"/>
        </w:rPr>
        <w:instrText xml:space="preserve"> HYPERLINK \l _Toc28571 </w:instrText>
      </w:r>
      <w:r>
        <w:rPr>
          <w:rFonts w:hint="eastAsia" w:ascii="宋体" w:hAnsi="宋体" w:eastAsia="宋体" w:cs="宋体"/>
        </w:rPr>
        <w:fldChar w:fldCharType="separate"/>
      </w:r>
      <w:r>
        <w:rPr>
          <w:rFonts w:hint="default" w:ascii="黑体" w:eastAsia="黑体"/>
          <w:i w:val="0"/>
        </w:rPr>
        <w:t xml:space="preserve">5.2.1 </w:t>
      </w:r>
      <w:r>
        <w:rPr>
          <w:rFonts w:hint="eastAsia"/>
        </w:rPr>
        <w:t>专职人员</w:t>
      </w:r>
      <w:r>
        <w:tab/>
      </w:r>
      <w:r>
        <w:fldChar w:fldCharType="begin"/>
      </w:r>
      <w:r>
        <w:instrText xml:space="preserve"> PAGEREF _Toc28571 \h </w:instrText>
      </w:r>
      <w:r>
        <w:fldChar w:fldCharType="separate"/>
      </w:r>
      <w:r>
        <w:t>8</w:t>
      </w:r>
      <w:r>
        <w:fldChar w:fldCharType="end"/>
      </w:r>
      <w:r>
        <w:rPr>
          <w:rFonts w:hint="eastAsia" w:ascii="宋体" w:hAnsi="宋体" w:eastAsia="宋体" w:cs="宋体"/>
          <w:color w:val="auto"/>
        </w:rPr>
        <w:fldChar w:fldCharType="end"/>
      </w:r>
    </w:p>
    <w:p w14:paraId="125CCC3A">
      <w:pPr>
        <w:pStyle w:val="17"/>
        <w:tabs>
          <w:tab w:val="right" w:leader="dot" w:pos="9354"/>
        </w:tabs>
      </w:pPr>
      <w:r>
        <w:rPr>
          <w:rFonts w:hint="eastAsia" w:ascii="宋体" w:hAnsi="宋体" w:eastAsia="宋体" w:cs="宋体"/>
          <w:color w:val="auto"/>
        </w:rPr>
        <w:fldChar w:fldCharType="begin"/>
      </w:r>
      <w:r>
        <w:rPr>
          <w:rFonts w:hint="eastAsia" w:ascii="宋体" w:hAnsi="宋体" w:eastAsia="宋体" w:cs="宋体"/>
        </w:rPr>
        <w:instrText xml:space="preserve"> HYPERLINK \l _Toc19347 </w:instrText>
      </w:r>
      <w:r>
        <w:rPr>
          <w:rFonts w:hint="eastAsia" w:ascii="宋体" w:hAnsi="宋体" w:eastAsia="宋体" w:cs="宋体"/>
        </w:rPr>
        <w:fldChar w:fldCharType="separate"/>
      </w:r>
      <w:r>
        <w:rPr>
          <w:rFonts w:hint="default" w:ascii="黑体" w:eastAsia="黑体"/>
          <w:i w:val="0"/>
        </w:rPr>
        <w:t xml:space="preserve">5.2.2 </w:t>
      </w:r>
      <w:r>
        <w:rPr>
          <w:rFonts w:hint="eastAsia"/>
        </w:rPr>
        <w:t>兼职人员</w:t>
      </w:r>
      <w:r>
        <w:tab/>
      </w:r>
      <w:r>
        <w:fldChar w:fldCharType="begin"/>
      </w:r>
      <w:r>
        <w:instrText xml:space="preserve"> PAGEREF _Toc19347 \h </w:instrText>
      </w:r>
      <w:r>
        <w:fldChar w:fldCharType="separate"/>
      </w:r>
      <w:r>
        <w:t>9</w:t>
      </w:r>
      <w:r>
        <w:fldChar w:fldCharType="end"/>
      </w:r>
      <w:r>
        <w:rPr>
          <w:rFonts w:hint="eastAsia" w:ascii="宋体" w:hAnsi="宋体" w:eastAsia="宋体" w:cs="宋体"/>
          <w:color w:val="auto"/>
        </w:rPr>
        <w:fldChar w:fldCharType="end"/>
      </w:r>
    </w:p>
    <w:p w14:paraId="2C378E70">
      <w:pPr>
        <w:pStyle w:val="17"/>
        <w:tabs>
          <w:tab w:val="right" w:leader="dot" w:pos="9354"/>
        </w:tabs>
      </w:pPr>
      <w:r>
        <w:rPr>
          <w:rFonts w:hint="eastAsia" w:ascii="宋体" w:hAnsi="宋体" w:eastAsia="宋体" w:cs="宋体"/>
          <w:color w:val="auto"/>
        </w:rPr>
        <w:fldChar w:fldCharType="begin"/>
      </w:r>
      <w:r>
        <w:rPr>
          <w:rFonts w:hint="eastAsia" w:ascii="宋体" w:hAnsi="宋体" w:eastAsia="宋体" w:cs="宋体"/>
        </w:rPr>
        <w:instrText xml:space="preserve"> HYPERLINK \l _Toc29951 </w:instrText>
      </w:r>
      <w:r>
        <w:rPr>
          <w:rFonts w:hint="eastAsia" w:ascii="宋体" w:hAnsi="宋体" w:eastAsia="宋体" w:cs="宋体"/>
        </w:rPr>
        <w:fldChar w:fldCharType="separate"/>
      </w:r>
      <w:r>
        <w:rPr>
          <w:rFonts w:hint="default" w:ascii="黑体" w:eastAsia="黑体"/>
          <w:i w:val="0"/>
        </w:rPr>
        <w:t xml:space="preserve">5.2.3 </w:t>
      </w:r>
      <w:r>
        <w:rPr>
          <w:rFonts w:hint="eastAsia"/>
        </w:rPr>
        <w:t>专业人员</w:t>
      </w:r>
      <w:r>
        <w:tab/>
      </w:r>
      <w:r>
        <w:fldChar w:fldCharType="begin"/>
      </w:r>
      <w:r>
        <w:instrText xml:space="preserve"> PAGEREF _Toc29951 \h </w:instrText>
      </w:r>
      <w:r>
        <w:fldChar w:fldCharType="separate"/>
      </w:r>
      <w:r>
        <w:t>9</w:t>
      </w:r>
      <w:r>
        <w:fldChar w:fldCharType="end"/>
      </w:r>
      <w:r>
        <w:rPr>
          <w:rFonts w:hint="eastAsia" w:ascii="宋体" w:hAnsi="宋体" w:eastAsia="宋体" w:cs="宋体"/>
          <w:color w:val="auto"/>
        </w:rPr>
        <w:fldChar w:fldCharType="end"/>
      </w:r>
    </w:p>
    <w:p w14:paraId="6F0EDA3B">
      <w:pPr>
        <w:pStyle w:val="27"/>
        <w:tabs>
          <w:tab w:val="right" w:leader="dot" w:pos="9354"/>
          <w:tab w:val="clear" w:pos="9344"/>
        </w:tabs>
      </w:pPr>
      <w:r>
        <w:rPr>
          <w:rFonts w:hint="eastAsia" w:ascii="宋体" w:hAnsi="宋体" w:eastAsia="宋体" w:cs="宋体"/>
          <w:color w:val="auto"/>
        </w:rPr>
        <w:fldChar w:fldCharType="begin"/>
      </w:r>
      <w:r>
        <w:rPr>
          <w:rFonts w:hint="eastAsia" w:ascii="宋体" w:hAnsi="宋体" w:eastAsia="宋体" w:cs="宋体"/>
        </w:rPr>
        <w:instrText xml:space="preserve"> HYPERLINK \l _Toc2929 </w:instrText>
      </w:r>
      <w:r>
        <w:rPr>
          <w:rFonts w:hint="eastAsia" w:ascii="宋体" w:hAnsi="宋体" w:eastAsia="宋体" w:cs="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5.3 </w:t>
      </w:r>
      <w:r>
        <w:rPr>
          <w:rFonts w:hint="eastAsia"/>
          <w:lang w:val="en-US" w:eastAsia="zh-CN"/>
        </w:rPr>
        <w:t>业务管理</w:t>
      </w:r>
      <w:r>
        <w:tab/>
      </w:r>
      <w:r>
        <w:fldChar w:fldCharType="begin"/>
      </w:r>
      <w:r>
        <w:instrText xml:space="preserve"> PAGEREF _Toc2929 \h </w:instrText>
      </w:r>
      <w:r>
        <w:fldChar w:fldCharType="separate"/>
      </w:r>
      <w:r>
        <w:t>9</w:t>
      </w:r>
      <w:r>
        <w:fldChar w:fldCharType="end"/>
      </w:r>
      <w:r>
        <w:rPr>
          <w:rFonts w:hint="eastAsia" w:ascii="宋体" w:hAnsi="宋体" w:eastAsia="宋体" w:cs="宋体"/>
          <w:color w:val="auto"/>
        </w:rPr>
        <w:fldChar w:fldCharType="end"/>
      </w:r>
    </w:p>
    <w:p w14:paraId="38D87B3A">
      <w:pPr>
        <w:pStyle w:val="17"/>
        <w:tabs>
          <w:tab w:val="right" w:leader="dot" w:pos="9354"/>
        </w:tabs>
      </w:pPr>
      <w:r>
        <w:rPr>
          <w:rFonts w:hint="eastAsia" w:ascii="宋体" w:hAnsi="宋体" w:eastAsia="宋体" w:cs="宋体"/>
          <w:color w:val="auto"/>
        </w:rPr>
        <w:fldChar w:fldCharType="begin"/>
      </w:r>
      <w:r>
        <w:rPr>
          <w:rFonts w:hint="eastAsia" w:ascii="宋体" w:hAnsi="宋体" w:eastAsia="宋体" w:cs="宋体"/>
        </w:rPr>
        <w:instrText xml:space="preserve"> HYPERLINK \l _Toc28646 </w:instrText>
      </w:r>
      <w:r>
        <w:rPr>
          <w:rFonts w:hint="eastAsia" w:ascii="宋体" w:hAnsi="宋体" w:eastAsia="宋体" w:cs="宋体"/>
        </w:rPr>
        <w:fldChar w:fldCharType="separate"/>
      </w:r>
      <w:r>
        <w:rPr>
          <w:rFonts w:hint="default" w:ascii="黑体" w:eastAsia="黑体"/>
          <w:i w:val="0"/>
        </w:rPr>
        <w:t xml:space="preserve">5.3.1 </w:t>
      </w:r>
      <w:r>
        <w:rPr>
          <w:rFonts w:hint="eastAsia"/>
        </w:rPr>
        <w:t>培训管理</w:t>
      </w:r>
      <w:r>
        <w:tab/>
      </w:r>
      <w:r>
        <w:fldChar w:fldCharType="begin"/>
      </w:r>
      <w:r>
        <w:instrText xml:space="preserve"> PAGEREF _Toc28646 \h </w:instrText>
      </w:r>
      <w:r>
        <w:fldChar w:fldCharType="separate"/>
      </w:r>
      <w:r>
        <w:t>9</w:t>
      </w:r>
      <w:r>
        <w:fldChar w:fldCharType="end"/>
      </w:r>
      <w:r>
        <w:rPr>
          <w:rFonts w:hint="eastAsia" w:ascii="宋体" w:hAnsi="宋体" w:eastAsia="宋体" w:cs="宋体"/>
          <w:color w:val="auto"/>
        </w:rPr>
        <w:fldChar w:fldCharType="end"/>
      </w:r>
    </w:p>
    <w:p w14:paraId="225E07E4">
      <w:pPr>
        <w:pStyle w:val="17"/>
        <w:tabs>
          <w:tab w:val="right" w:leader="dot" w:pos="9354"/>
        </w:tabs>
      </w:pPr>
      <w:r>
        <w:rPr>
          <w:rFonts w:hint="eastAsia" w:ascii="宋体" w:hAnsi="宋体" w:eastAsia="宋体" w:cs="宋体"/>
          <w:color w:val="auto"/>
        </w:rPr>
        <w:fldChar w:fldCharType="begin"/>
      </w:r>
      <w:r>
        <w:rPr>
          <w:rFonts w:hint="eastAsia" w:ascii="宋体" w:hAnsi="宋体" w:eastAsia="宋体" w:cs="宋体"/>
        </w:rPr>
        <w:instrText xml:space="preserve"> HYPERLINK \l _Toc27482 </w:instrText>
      </w:r>
      <w:r>
        <w:rPr>
          <w:rFonts w:hint="eastAsia" w:ascii="宋体" w:hAnsi="宋体" w:eastAsia="宋体" w:cs="宋体"/>
        </w:rPr>
        <w:fldChar w:fldCharType="separate"/>
      </w:r>
      <w:r>
        <w:rPr>
          <w:rFonts w:hint="default" w:ascii="黑体" w:eastAsia="黑体"/>
          <w:i w:val="0"/>
        </w:rPr>
        <w:t xml:space="preserve">5.3.2 </w:t>
      </w:r>
      <w:r>
        <w:rPr>
          <w:rFonts w:hint="eastAsia"/>
        </w:rPr>
        <w:t>赛事活动管理</w:t>
      </w:r>
      <w:r>
        <w:tab/>
      </w:r>
      <w:r>
        <w:fldChar w:fldCharType="begin"/>
      </w:r>
      <w:r>
        <w:instrText xml:space="preserve"> PAGEREF _Toc27482 \h </w:instrText>
      </w:r>
      <w:r>
        <w:fldChar w:fldCharType="separate"/>
      </w:r>
      <w:r>
        <w:t>9</w:t>
      </w:r>
      <w:r>
        <w:fldChar w:fldCharType="end"/>
      </w:r>
      <w:r>
        <w:rPr>
          <w:rFonts w:hint="eastAsia" w:ascii="宋体" w:hAnsi="宋体" w:eastAsia="宋体" w:cs="宋体"/>
          <w:color w:val="auto"/>
        </w:rPr>
        <w:fldChar w:fldCharType="end"/>
      </w:r>
    </w:p>
    <w:p w14:paraId="55471C88">
      <w:pPr>
        <w:pStyle w:val="17"/>
        <w:tabs>
          <w:tab w:val="right" w:leader="dot" w:pos="9354"/>
        </w:tabs>
      </w:pPr>
      <w:r>
        <w:rPr>
          <w:rFonts w:hint="eastAsia" w:ascii="宋体" w:hAnsi="宋体" w:eastAsia="宋体" w:cs="宋体"/>
          <w:color w:val="auto"/>
        </w:rPr>
        <w:fldChar w:fldCharType="begin"/>
      </w:r>
      <w:r>
        <w:rPr>
          <w:rFonts w:hint="eastAsia" w:ascii="宋体" w:hAnsi="宋体" w:eastAsia="宋体" w:cs="宋体"/>
        </w:rPr>
        <w:instrText xml:space="preserve"> HYPERLINK \l _Toc24059 </w:instrText>
      </w:r>
      <w:r>
        <w:rPr>
          <w:rFonts w:hint="eastAsia" w:ascii="宋体" w:hAnsi="宋体" w:eastAsia="宋体" w:cs="宋体"/>
        </w:rPr>
        <w:fldChar w:fldCharType="separate"/>
      </w:r>
      <w:r>
        <w:rPr>
          <w:rFonts w:hint="default" w:ascii="黑体" w:eastAsia="黑体"/>
          <w:i w:val="0"/>
        </w:rPr>
        <w:t xml:space="preserve">5.3.3 </w:t>
      </w:r>
      <w:r>
        <w:rPr>
          <w:rFonts w:hint="eastAsia"/>
        </w:rPr>
        <w:t>交流合作</w:t>
      </w:r>
      <w:r>
        <w:tab/>
      </w:r>
      <w:r>
        <w:fldChar w:fldCharType="begin"/>
      </w:r>
      <w:r>
        <w:instrText xml:space="preserve"> PAGEREF _Toc24059 \h </w:instrText>
      </w:r>
      <w:r>
        <w:fldChar w:fldCharType="separate"/>
      </w:r>
      <w:r>
        <w:t>10</w:t>
      </w:r>
      <w:r>
        <w:fldChar w:fldCharType="end"/>
      </w:r>
      <w:r>
        <w:rPr>
          <w:rFonts w:hint="eastAsia" w:ascii="宋体" w:hAnsi="宋体" w:eastAsia="宋体" w:cs="宋体"/>
          <w:color w:val="auto"/>
        </w:rPr>
        <w:fldChar w:fldCharType="end"/>
      </w:r>
    </w:p>
    <w:p w14:paraId="1327271B">
      <w:pPr>
        <w:pStyle w:val="17"/>
        <w:tabs>
          <w:tab w:val="right" w:leader="dot" w:pos="9354"/>
        </w:tabs>
      </w:pPr>
      <w:r>
        <w:rPr>
          <w:rFonts w:hint="eastAsia" w:ascii="宋体" w:hAnsi="宋体" w:eastAsia="宋体" w:cs="宋体"/>
          <w:color w:val="auto"/>
        </w:rPr>
        <w:fldChar w:fldCharType="begin"/>
      </w:r>
      <w:r>
        <w:rPr>
          <w:rFonts w:hint="eastAsia" w:ascii="宋体" w:hAnsi="宋体" w:eastAsia="宋体" w:cs="宋体"/>
        </w:rPr>
        <w:instrText xml:space="preserve"> HYPERLINK \l _Toc30929 </w:instrText>
      </w:r>
      <w:r>
        <w:rPr>
          <w:rFonts w:hint="eastAsia" w:ascii="宋体" w:hAnsi="宋体" w:eastAsia="宋体" w:cs="宋体"/>
        </w:rPr>
        <w:fldChar w:fldCharType="separate"/>
      </w:r>
      <w:r>
        <w:rPr>
          <w:rFonts w:hint="default" w:ascii="黑体" w:eastAsia="黑体"/>
          <w:i w:val="0"/>
        </w:rPr>
        <w:t xml:space="preserve">5.3.4 </w:t>
      </w:r>
      <w:r>
        <w:rPr>
          <w:rFonts w:hint="eastAsia"/>
        </w:rPr>
        <w:t>社会互动</w:t>
      </w:r>
      <w:r>
        <w:tab/>
      </w:r>
      <w:r>
        <w:fldChar w:fldCharType="begin"/>
      </w:r>
      <w:r>
        <w:instrText xml:space="preserve"> PAGEREF _Toc30929 \h </w:instrText>
      </w:r>
      <w:r>
        <w:fldChar w:fldCharType="separate"/>
      </w:r>
      <w:r>
        <w:t>10</w:t>
      </w:r>
      <w:r>
        <w:fldChar w:fldCharType="end"/>
      </w:r>
      <w:r>
        <w:rPr>
          <w:rFonts w:hint="eastAsia" w:ascii="宋体" w:hAnsi="宋体" w:eastAsia="宋体" w:cs="宋体"/>
          <w:color w:val="auto"/>
        </w:rPr>
        <w:fldChar w:fldCharType="end"/>
      </w:r>
    </w:p>
    <w:p w14:paraId="1843ABA7">
      <w:pPr>
        <w:pStyle w:val="17"/>
        <w:tabs>
          <w:tab w:val="right" w:leader="dot" w:pos="9354"/>
        </w:tabs>
      </w:pPr>
      <w:r>
        <w:rPr>
          <w:rFonts w:hint="eastAsia" w:ascii="宋体" w:hAnsi="宋体" w:eastAsia="宋体" w:cs="宋体"/>
          <w:color w:val="auto"/>
        </w:rPr>
        <w:fldChar w:fldCharType="begin"/>
      </w:r>
      <w:r>
        <w:rPr>
          <w:rFonts w:hint="eastAsia" w:ascii="宋体" w:hAnsi="宋体" w:eastAsia="宋体" w:cs="宋体"/>
        </w:rPr>
        <w:instrText xml:space="preserve"> HYPERLINK \l _Toc11023 </w:instrText>
      </w:r>
      <w:r>
        <w:rPr>
          <w:rFonts w:hint="eastAsia" w:ascii="宋体" w:hAnsi="宋体" w:eastAsia="宋体" w:cs="宋体"/>
        </w:rPr>
        <w:fldChar w:fldCharType="separate"/>
      </w:r>
      <w:r>
        <w:rPr>
          <w:rFonts w:hint="default" w:ascii="黑体" w:eastAsia="黑体"/>
          <w:i w:val="0"/>
          <w:lang w:val="en-US" w:eastAsia="zh-CN"/>
        </w:rPr>
        <w:t xml:space="preserve">5.3.5 </w:t>
      </w:r>
      <w:r>
        <w:rPr>
          <w:rFonts w:hint="eastAsia"/>
          <w:lang w:val="en-US" w:eastAsia="zh-CN"/>
        </w:rPr>
        <w:t>项目管理</w:t>
      </w:r>
      <w:r>
        <w:tab/>
      </w:r>
      <w:r>
        <w:fldChar w:fldCharType="begin"/>
      </w:r>
      <w:r>
        <w:instrText xml:space="preserve"> PAGEREF _Toc11023 \h </w:instrText>
      </w:r>
      <w:r>
        <w:fldChar w:fldCharType="separate"/>
      </w:r>
      <w:r>
        <w:t>10</w:t>
      </w:r>
      <w:r>
        <w:fldChar w:fldCharType="end"/>
      </w:r>
      <w:r>
        <w:rPr>
          <w:rFonts w:hint="eastAsia" w:ascii="宋体" w:hAnsi="宋体" w:eastAsia="宋体" w:cs="宋体"/>
          <w:color w:val="auto"/>
        </w:rPr>
        <w:fldChar w:fldCharType="end"/>
      </w:r>
    </w:p>
    <w:p w14:paraId="054CE808">
      <w:pPr>
        <w:pStyle w:val="17"/>
        <w:tabs>
          <w:tab w:val="right" w:leader="dot" w:pos="9354"/>
        </w:tabs>
      </w:pPr>
      <w:r>
        <w:rPr>
          <w:rFonts w:hint="eastAsia" w:ascii="宋体" w:hAnsi="宋体" w:eastAsia="宋体" w:cs="宋体"/>
          <w:color w:val="auto"/>
        </w:rPr>
        <w:fldChar w:fldCharType="begin"/>
      </w:r>
      <w:r>
        <w:rPr>
          <w:rFonts w:hint="eastAsia" w:ascii="宋体" w:hAnsi="宋体" w:eastAsia="宋体" w:cs="宋体"/>
        </w:rPr>
        <w:instrText xml:space="preserve"> HYPERLINK \l _Toc15168 </w:instrText>
      </w:r>
      <w:r>
        <w:rPr>
          <w:rFonts w:hint="eastAsia" w:ascii="宋体" w:hAnsi="宋体" w:eastAsia="宋体" w:cs="宋体"/>
        </w:rPr>
        <w:fldChar w:fldCharType="separate"/>
      </w:r>
      <w:r>
        <w:rPr>
          <w:rFonts w:hint="default" w:ascii="黑体" w:eastAsia="黑体"/>
          <w:i w:val="0"/>
        </w:rPr>
        <w:t xml:space="preserve">5.3.6 </w:t>
      </w:r>
      <w:r>
        <w:rPr>
          <w:rFonts w:hint="eastAsia"/>
        </w:rPr>
        <w:t>会员管理</w:t>
      </w:r>
      <w:r>
        <w:tab/>
      </w:r>
      <w:r>
        <w:fldChar w:fldCharType="begin"/>
      </w:r>
      <w:r>
        <w:instrText xml:space="preserve"> PAGEREF _Toc15168 \h </w:instrText>
      </w:r>
      <w:r>
        <w:fldChar w:fldCharType="separate"/>
      </w:r>
      <w:r>
        <w:t>11</w:t>
      </w:r>
      <w:r>
        <w:fldChar w:fldCharType="end"/>
      </w:r>
      <w:r>
        <w:rPr>
          <w:rFonts w:hint="eastAsia" w:ascii="宋体" w:hAnsi="宋体" w:eastAsia="宋体" w:cs="宋体"/>
          <w:color w:val="auto"/>
        </w:rPr>
        <w:fldChar w:fldCharType="end"/>
      </w:r>
    </w:p>
    <w:p w14:paraId="7FF649D2">
      <w:pPr>
        <w:pStyle w:val="27"/>
        <w:tabs>
          <w:tab w:val="right" w:leader="dot" w:pos="9354"/>
          <w:tab w:val="clear" w:pos="9344"/>
        </w:tabs>
      </w:pPr>
      <w:r>
        <w:rPr>
          <w:rFonts w:hint="eastAsia" w:ascii="宋体" w:hAnsi="宋体" w:eastAsia="宋体" w:cs="宋体"/>
          <w:color w:val="auto"/>
        </w:rPr>
        <w:fldChar w:fldCharType="begin"/>
      </w:r>
      <w:r>
        <w:rPr>
          <w:rFonts w:hint="eastAsia" w:ascii="宋体" w:hAnsi="宋体" w:eastAsia="宋体" w:cs="宋体"/>
        </w:rPr>
        <w:instrText xml:space="preserve"> HYPERLINK \l _Toc18527 </w:instrText>
      </w:r>
      <w:r>
        <w:rPr>
          <w:rFonts w:hint="eastAsia" w:ascii="宋体" w:hAnsi="宋体" w:eastAsia="宋体" w:cs="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5.4 </w:t>
      </w:r>
      <w:r>
        <w:rPr>
          <w:rFonts w:hint="eastAsia"/>
        </w:rPr>
        <w:t>财务管理</w:t>
      </w:r>
      <w:r>
        <w:tab/>
      </w:r>
      <w:r>
        <w:fldChar w:fldCharType="begin"/>
      </w:r>
      <w:r>
        <w:instrText xml:space="preserve"> PAGEREF _Toc18527 \h </w:instrText>
      </w:r>
      <w:r>
        <w:fldChar w:fldCharType="separate"/>
      </w:r>
      <w:r>
        <w:t>11</w:t>
      </w:r>
      <w:r>
        <w:fldChar w:fldCharType="end"/>
      </w:r>
      <w:r>
        <w:rPr>
          <w:rFonts w:hint="eastAsia" w:ascii="宋体" w:hAnsi="宋体" w:eastAsia="宋体" w:cs="宋体"/>
          <w:color w:val="auto"/>
        </w:rPr>
        <w:fldChar w:fldCharType="end"/>
      </w:r>
    </w:p>
    <w:p w14:paraId="1FE4FD94">
      <w:pPr>
        <w:pStyle w:val="27"/>
        <w:tabs>
          <w:tab w:val="right" w:leader="dot" w:pos="9354"/>
          <w:tab w:val="clear" w:pos="9344"/>
        </w:tabs>
      </w:pPr>
      <w:r>
        <w:rPr>
          <w:rFonts w:hint="eastAsia" w:ascii="宋体" w:hAnsi="宋体" w:eastAsia="宋体" w:cs="宋体"/>
          <w:color w:val="auto"/>
        </w:rPr>
        <w:fldChar w:fldCharType="begin"/>
      </w:r>
      <w:r>
        <w:rPr>
          <w:rFonts w:hint="eastAsia" w:ascii="宋体" w:hAnsi="宋体" w:eastAsia="宋体" w:cs="宋体"/>
        </w:rPr>
        <w:instrText xml:space="preserve"> HYPERLINK \l _Toc4250 </w:instrText>
      </w:r>
      <w:r>
        <w:rPr>
          <w:rFonts w:hint="eastAsia" w:ascii="宋体" w:hAnsi="宋体" w:eastAsia="宋体" w:cs="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5.5 </w:t>
      </w:r>
      <w:r>
        <w:rPr>
          <w:rFonts w:hint="eastAsia"/>
        </w:rPr>
        <w:t>风险管理</w:t>
      </w:r>
      <w:r>
        <w:tab/>
      </w:r>
      <w:r>
        <w:fldChar w:fldCharType="begin"/>
      </w:r>
      <w:r>
        <w:instrText xml:space="preserve"> PAGEREF _Toc4250 \h </w:instrText>
      </w:r>
      <w:r>
        <w:fldChar w:fldCharType="separate"/>
      </w:r>
      <w:r>
        <w:t>12</w:t>
      </w:r>
      <w:r>
        <w:fldChar w:fldCharType="end"/>
      </w:r>
      <w:r>
        <w:rPr>
          <w:rFonts w:hint="eastAsia" w:ascii="宋体" w:hAnsi="宋体" w:eastAsia="宋体" w:cs="宋体"/>
          <w:color w:val="auto"/>
        </w:rPr>
        <w:fldChar w:fldCharType="end"/>
      </w:r>
    </w:p>
    <w:p w14:paraId="39940FEC">
      <w:pPr>
        <w:pStyle w:val="22"/>
        <w:tabs>
          <w:tab w:val="right" w:leader="dot" w:pos="9354"/>
        </w:tabs>
      </w:pPr>
      <w:r>
        <w:rPr>
          <w:rFonts w:hint="eastAsia" w:ascii="宋体" w:hAnsi="宋体" w:eastAsia="宋体" w:cs="宋体"/>
          <w:color w:val="auto"/>
        </w:rPr>
        <w:fldChar w:fldCharType="begin"/>
      </w:r>
      <w:r>
        <w:rPr>
          <w:rFonts w:hint="eastAsia" w:ascii="宋体" w:hAnsi="宋体" w:eastAsia="宋体" w:cs="宋体"/>
        </w:rPr>
        <w:instrText xml:space="preserve"> HYPERLINK \l _Toc12047 </w:instrText>
      </w:r>
      <w:r>
        <w:rPr>
          <w:rFonts w:hint="eastAsia" w:ascii="宋体" w:hAnsi="宋体" w:eastAsia="宋体" w:cs="宋体"/>
        </w:rPr>
        <w:fldChar w:fldCharType="separate"/>
      </w:r>
      <w:r>
        <w:rPr>
          <w:rFonts w:hint="eastAsia" w:ascii="黑体" w:eastAsia="黑体"/>
          <w:i w:val="0"/>
        </w:rPr>
        <w:t xml:space="preserve">6 </w:t>
      </w:r>
      <w:r>
        <w:rPr>
          <w:rFonts w:hint="eastAsia"/>
        </w:rPr>
        <w:t>监</w:t>
      </w:r>
      <w:r>
        <w:rPr>
          <w:rFonts w:hint="eastAsia"/>
          <w:lang w:val="en-US" w:eastAsia="zh-CN"/>
        </w:rPr>
        <w:t>管</w:t>
      </w:r>
      <w:r>
        <w:rPr>
          <w:rFonts w:hint="eastAsia"/>
        </w:rPr>
        <w:t>要求</w:t>
      </w:r>
      <w:r>
        <w:tab/>
      </w:r>
      <w:r>
        <w:fldChar w:fldCharType="begin"/>
      </w:r>
      <w:r>
        <w:instrText xml:space="preserve"> PAGEREF _Toc12047 \h </w:instrText>
      </w:r>
      <w:r>
        <w:fldChar w:fldCharType="separate"/>
      </w:r>
      <w:r>
        <w:t>12</w:t>
      </w:r>
      <w:r>
        <w:fldChar w:fldCharType="end"/>
      </w:r>
      <w:r>
        <w:rPr>
          <w:rFonts w:hint="eastAsia" w:ascii="宋体" w:hAnsi="宋体" w:eastAsia="宋体" w:cs="宋体"/>
          <w:color w:val="auto"/>
        </w:rPr>
        <w:fldChar w:fldCharType="end"/>
      </w:r>
    </w:p>
    <w:p w14:paraId="58F6EC87">
      <w:pPr>
        <w:pStyle w:val="27"/>
        <w:tabs>
          <w:tab w:val="right" w:leader="dot" w:pos="9354"/>
          <w:tab w:val="clear" w:pos="9344"/>
        </w:tabs>
      </w:pPr>
      <w:r>
        <w:rPr>
          <w:rFonts w:hint="eastAsia" w:ascii="宋体" w:hAnsi="宋体" w:eastAsia="宋体" w:cs="宋体"/>
          <w:color w:val="auto"/>
        </w:rPr>
        <w:fldChar w:fldCharType="begin"/>
      </w:r>
      <w:r>
        <w:rPr>
          <w:rFonts w:hint="eastAsia" w:ascii="宋体" w:hAnsi="宋体" w:eastAsia="宋体" w:cs="宋体"/>
        </w:rPr>
        <w:instrText xml:space="preserve"> HYPERLINK \l _Toc23664 </w:instrText>
      </w:r>
      <w:r>
        <w:rPr>
          <w:rFonts w:hint="eastAsia" w:ascii="宋体" w:hAnsi="宋体" w:eastAsia="宋体" w:cs="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 </w:t>
      </w:r>
      <w:r>
        <w:rPr>
          <w:rFonts w:hint="eastAsia"/>
        </w:rPr>
        <w:t>年度考核</w:t>
      </w:r>
      <w:r>
        <w:tab/>
      </w:r>
      <w:r>
        <w:fldChar w:fldCharType="begin"/>
      </w:r>
      <w:r>
        <w:instrText xml:space="preserve"> PAGEREF _Toc23664 \h </w:instrText>
      </w:r>
      <w:r>
        <w:fldChar w:fldCharType="separate"/>
      </w:r>
      <w:r>
        <w:t>12</w:t>
      </w:r>
      <w:r>
        <w:fldChar w:fldCharType="end"/>
      </w:r>
      <w:r>
        <w:rPr>
          <w:rFonts w:hint="eastAsia" w:ascii="宋体" w:hAnsi="宋体" w:eastAsia="宋体" w:cs="宋体"/>
          <w:color w:val="auto"/>
        </w:rPr>
        <w:fldChar w:fldCharType="end"/>
      </w:r>
    </w:p>
    <w:p w14:paraId="3E9D6F1D">
      <w:pPr>
        <w:pStyle w:val="17"/>
        <w:tabs>
          <w:tab w:val="right" w:leader="dot" w:pos="9354"/>
        </w:tabs>
      </w:pPr>
      <w:r>
        <w:rPr>
          <w:rFonts w:hint="eastAsia" w:ascii="宋体" w:hAnsi="宋体" w:eastAsia="宋体" w:cs="宋体"/>
          <w:color w:val="auto"/>
        </w:rPr>
        <w:fldChar w:fldCharType="begin"/>
      </w:r>
      <w:r>
        <w:rPr>
          <w:rFonts w:hint="eastAsia" w:ascii="宋体" w:hAnsi="宋体" w:eastAsia="宋体" w:cs="宋体"/>
        </w:rPr>
        <w:instrText xml:space="preserve"> HYPERLINK \l _Toc12161 </w:instrText>
      </w:r>
      <w:r>
        <w:rPr>
          <w:rFonts w:hint="eastAsia" w:ascii="宋体" w:hAnsi="宋体" w:eastAsia="宋体" w:cs="宋体"/>
        </w:rPr>
        <w:fldChar w:fldCharType="separate"/>
      </w:r>
      <w:r>
        <w:rPr>
          <w:rFonts w:hint="default" w:ascii="黑体" w:eastAsia="黑体"/>
          <w:i w:val="0"/>
        </w:rPr>
        <w:t xml:space="preserve">6.1.1 </w:t>
      </w:r>
      <w:r>
        <w:rPr>
          <w:rFonts w:hint="eastAsia"/>
          <w:lang w:val="en-US" w:eastAsia="zh-CN"/>
        </w:rPr>
        <w:t>要求</w:t>
      </w:r>
      <w:r>
        <w:tab/>
      </w:r>
      <w:r>
        <w:fldChar w:fldCharType="begin"/>
      </w:r>
      <w:r>
        <w:instrText xml:space="preserve"> PAGEREF _Toc12161 \h </w:instrText>
      </w:r>
      <w:r>
        <w:fldChar w:fldCharType="separate"/>
      </w:r>
      <w:r>
        <w:t>12</w:t>
      </w:r>
      <w:r>
        <w:fldChar w:fldCharType="end"/>
      </w:r>
      <w:r>
        <w:rPr>
          <w:rFonts w:hint="eastAsia" w:ascii="宋体" w:hAnsi="宋体" w:eastAsia="宋体" w:cs="宋体"/>
          <w:color w:val="auto"/>
        </w:rPr>
        <w:fldChar w:fldCharType="end"/>
      </w:r>
    </w:p>
    <w:p w14:paraId="46667A83">
      <w:pPr>
        <w:pStyle w:val="17"/>
        <w:tabs>
          <w:tab w:val="right" w:leader="dot" w:pos="9354"/>
        </w:tabs>
      </w:pPr>
      <w:r>
        <w:rPr>
          <w:rFonts w:hint="eastAsia" w:ascii="宋体" w:hAnsi="宋体" w:eastAsia="宋体" w:cs="宋体"/>
          <w:color w:val="auto"/>
        </w:rPr>
        <w:fldChar w:fldCharType="begin"/>
      </w:r>
      <w:r>
        <w:rPr>
          <w:rFonts w:hint="eastAsia" w:ascii="宋体" w:hAnsi="宋体" w:eastAsia="宋体" w:cs="宋体"/>
        </w:rPr>
        <w:instrText xml:space="preserve"> HYPERLINK \l _Toc1121 </w:instrText>
      </w:r>
      <w:r>
        <w:rPr>
          <w:rFonts w:hint="eastAsia" w:ascii="宋体" w:hAnsi="宋体" w:eastAsia="宋体" w:cs="宋体"/>
        </w:rPr>
        <w:fldChar w:fldCharType="separate"/>
      </w:r>
      <w:r>
        <w:rPr>
          <w:rFonts w:hint="default" w:ascii="黑体" w:eastAsia="黑体"/>
          <w:i w:val="0"/>
          <w:lang w:val="en-US" w:eastAsia="zh-CN"/>
        </w:rPr>
        <w:t xml:space="preserve">6.1.2 </w:t>
      </w:r>
      <w:r>
        <w:rPr>
          <w:rFonts w:hint="eastAsia"/>
          <w:lang w:val="en-US" w:eastAsia="zh-CN"/>
        </w:rPr>
        <w:t>奖惩机制</w:t>
      </w:r>
      <w:r>
        <w:tab/>
      </w:r>
      <w:r>
        <w:fldChar w:fldCharType="begin"/>
      </w:r>
      <w:r>
        <w:instrText xml:space="preserve"> PAGEREF _Toc1121 \h </w:instrText>
      </w:r>
      <w:r>
        <w:fldChar w:fldCharType="separate"/>
      </w:r>
      <w:r>
        <w:t>12</w:t>
      </w:r>
      <w:r>
        <w:fldChar w:fldCharType="end"/>
      </w:r>
      <w:r>
        <w:rPr>
          <w:rFonts w:hint="eastAsia" w:ascii="宋体" w:hAnsi="宋体" w:eastAsia="宋体" w:cs="宋体"/>
          <w:color w:val="auto"/>
        </w:rPr>
        <w:fldChar w:fldCharType="end"/>
      </w:r>
    </w:p>
    <w:p w14:paraId="7A5A885D">
      <w:pPr>
        <w:pStyle w:val="27"/>
        <w:tabs>
          <w:tab w:val="right" w:leader="dot" w:pos="9354"/>
          <w:tab w:val="clear" w:pos="9344"/>
        </w:tabs>
      </w:pPr>
      <w:r>
        <w:rPr>
          <w:rFonts w:hint="eastAsia" w:ascii="宋体" w:hAnsi="宋体" w:eastAsia="宋体" w:cs="宋体"/>
          <w:color w:val="auto"/>
        </w:rPr>
        <w:fldChar w:fldCharType="begin"/>
      </w:r>
      <w:r>
        <w:rPr>
          <w:rFonts w:hint="eastAsia" w:ascii="宋体" w:hAnsi="宋体" w:eastAsia="宋体" w:cs="宋体"/>
        </w:rPr>
        <w:instrText xml:space="preserve"> HYPERLINK \l _Toc15478 </w:instrText>
      </w:r>
      <w:r>
        <w:rPr>
          <w:rFonts w:hint="eastAsia" w:ascii="宋体" w:hAnsi="宋体" w:eastAsia="宋体" w:cs="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6.2 </w:t>
      </w:r>
      <w:r>
        <w:rPr>
          <w:rFonts w:hint="eastAsia"/>
        </w:rPr>
        <w:t>约见谈话</w:t>
      </w:r>
      <w:r>
        <w:tab/>
      </w:r>
      <w:r>
        <w:fldChar w:fldCharType="begin"/>
      </w:r>
      <w:r>
        <w:instrText xml:space="preserve"> PAGEREF _Toc15478 \h </w:instrText>
      </w:r>
      <w:r>
        <w:fldChar w:fldCharType="separate"/>
      </w:r>
      <w:r>
        <w:t>13</w:t>
      </w:r>
      <w:r>
        <w:fldChar w:fldCharType="end"/>
      </w:r>
      <w:r>
        <w:rPr>
          <w:rFonts w:hint="eastAsia" w:ascii="宋体" w:hAnsi="宋体" w:eastAsia="宋体" w:cs="宋体"/>
          <w:color w:val="auto"/>
        </w:rPr>
        <w:fldChar w:fldCharType="end"/>
      </w:r>
    </w:p>
    <w:p w14:paraId="4562244F">
      <w:pPr>
        <w:pStyle w:val="27"/>
        <w:tabs>
          <w:tab w:val="right" w:leader="dot" w:pos="9354"/>
          <w:tab w:val="clear" w:pos="9344"/>
        </w:tabs>
      </w:pPr>
      <w:r>
        <w:rPr>
          <w:rFonts w:hint="eastAsia" w:ascii="宋体" w:hAnsi="宋体" w:eastAsia="宋体" w:cs="宋体"/>
          <w:color w:val="auto"/>
        </w:rPr>
        <w:fldChar w:fldCharType="begin"/>
      </w:r>
      <w:r>
        <w:rPr>
          <w:rFonts w:hint="eastAsia" w:ascii="宋体" w:hAnsi="宋体" w:eastAsia="宋体" w:cs="宋体"/>
        </w:rPr>
        <w:instrText xml:space="preserve"> HYPERLINK \l _Toc19783 </w:instrText>
      </w:r>
      <w:r>
        <w:rPr>
          <w:rFonts w:hint="eastAsia" w:ascii="宋体" w:hAnsi="宋体" w:eastAsia="宋体" w:cs="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6.3 </w:t>
      </w:r>
      <w:r>
        <w:rPr>
          <w:rFonts w:hint="eastAsia"/>
        </w:rPr>
        <w:t>重大事项报备</w:t>
      </w:r>
      <w:r>
        <w:tab/>
      </w:r>
      <w:r>
        <w:fldChar w:fldCharType="begin"/>
      </w:r>
      <w:r>
        <w:instrText xml:space="preserve"> PAGEREF _Toc19783 \h </w:instrText>
      </w:r>
      <w:r>
        <w:fldChar w:fldCharType="separate"/>
      </w:r>
      <w:r>
        <w:t>13</w:t>
      </w:r>
      <w:r>
        <w:fldChar w:fldCharType="end"/>
      </w:r>
      <w:r>
        <w:rPr>
          <w:rFonts w:hint="eastAsia" w:ascii="宋体" w:hAnsi="宋体" w:eastAsia="宋体" w:cs="宋体"/>
          <w:color w:val="auto"/>
        </w:rPr>
        <w:fldChar w:fldCharType="end"/>
      </w:r>
    </w:p>
    <w:p w14:paraId="5971B151">
      <w:pPr>
        <w:pStyle w:val="22"/>
        <w:tabs>
          <w:tab w:val="right" w:leader="dot" w:pos="9354"/>
        </w:tabs>
      </w:pPr>
      <w:r>
        <w:rPr>
          <w:rFonts w:hint="eastAsia" w:ascii="宋体" w:hAnsi="宋体" w:eastAsia="宋体" w:cs="宋体"/>
          <w:color w:val="auto"/>
        </w:rPr>
        <w:fldChar w:fldCharType="begin"/>
      </w:r>
      <w:r>
        <w:rPr>
          <w:rFonts w:hint="eastAsia" w:ascii="宋体" w:hAnsi="宋体" w:eastAsia="宋体" w:cs="宋体"/>
        </w:rPr>
        <w:instrText xml:space="preserve"> HYPERLINK \l _Toc6167 </w:instrText>
      </w:r>
      <w:r>
        <w:rPr>
          <w:rFonts w:hint="eastAsia" w:ascii="宋体" w:hAnsi="宋体" w:eastAsia="宋体" w:cs="宋体"/>
        </w:rPr>
        <w:fldChar w:fldCharType="separate"/>
      </w:r>
      <w:r>
        <w:rPr>
          <w:rFonts w:hint="eastAsia"/>
        </w:rPr>
        <w:t>参考文献</w:t>
      </w:r>
      <w:r>
        <w:tab/>
      </w:r>
      <w:r>
        <w:fldChar w:fldCharType="begin"/>
      </w:r>
      <w:r>
        <w:instrText xml:space="preserve"> PAGEREF _Toc6167 \h </w:instrText>
      </w:r>
      <w:r>
        <w:fldChar w:fldCharType="separate"/>
      </w:r>
      <w:r>
        <w:t>15</w:t>
      </w:r>
      <w:r>
        <w:fldChar w:fldCharType="end"/>
      </w:r>
      <w:r>
        <w:rPr>
          <w:rFonts w:hint="eastAsia" w:ascii="宋体" w:hAnsi="宋体" w:eastAsia="宋体" w:cs="宋体"/>
          <w:color w:val="auto"/>
        </w:rPr>
        <w:fldChar w:fldCharType="end"/>
      </w:r>
    </w:p>
    <w:p w14:paraId="2C243F0A">
      <w:pPr>
        <w:pStyle w:val="101"/>
        <w:spacing w:after="468"/>
        <w:rPr>
          <w:color w:val="auto"/>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rPr>
          <w:rFonts w:hint="eastAsia" w:ascii="宋体" w:hAnsi="宋体" w:eastAsia="宋体" w:cs="宋体"/>
          <w:color w:val="auto"/>
        </w:rPr>
        <w:fldChar w:fldCharType="end"/>
      </w:r>
    </w:p>
    <w:bookmarkEnd w:id="21"/>
    <w:p w14:paraId="2842CEB8">
      <w:pPr>
        <w:pStyle w:val="99"/>
        <w:spacing w:after="468"/>
        <w:rPr>
          <w:color w:val="auto"/>
        </w:rPr>
      </w:pPr>
      <w:bookmarkStart w:id="24" w:name="_Toc7016"/>
      <w:bookmarkStart w:id="25" w:name="BookMark2"/>
      <w:r>
        <w:rPr>
          <w:color w:val="auto"/>
          <w:spacing w:val="320"/>
        </w:rPr>
        <w:t>前</w:t>
      </w:r>
      <w:r>
        <w:rPr>
          <w:color w:val="auto"/>
        </w:rPr>
        <w:t>言</w:t>
      </w:r>
      <w:bookmarkEnd w:id="22"/>
      <w:bookmarkEnd w:id="23"/>
      <w:bookmarkEnd w:id="24"/>
    </w:p>
    <w:p w14:paraId="4840D9EF">
      <w:pPr>
        <w:pStyle w:val="66"/>
        <w:ind w:firstLine="420"/>
        <w:rPr>
          <w:color w:val="auto"/>
        </w:rPr>
      </w:pPr>
      <w:r>
        <w:rPr>
          <w:rFonts w:hint="eastAsia"/>
          <w:color w:val="auto"/>
        </w:rPr>
        <w:t>本文件按照GB/T 1.1—2020《标准化工作导则  第1部分：标准化文件的结构和起草规则》的规定起草。</w:t>
      </w:r>
    </w:p>
    <w:p w14:paraId="5E8C3909">
      <w:pPr>
        <w:pStyle w:val="66"/>
        <w:ind w:firstLine="420"/>
        <w:rPr>
          <w:color w:val="auto"/>
        </w:rPr>
      </w:pPr>
      <w:r>
        <w:rPr>
          <w:rFonts w:hint="eastAsia"/>
          <w:color w:val="auto"/>
        </w:rPr>
        <w:t>请注意本文件的某些内容可能涉及专利。本文件的发布机构不承担识别专利的责任。</w:t>
      </w:r>
    </w:p>
    <w:p w14:paraId="4EE10A8F">
      <w:pPr>
        <w:pStyle w:val="66"/>
        <w:ind w:firstLine="420"/>
        <w:rPr>
          <w:color w:val="auto"/>
        </w:rPr>
      </w:pPr>
      <w:r>
        <w:rPr>
          <w:rFonts w:hint="eastAsia"/>
          <w:color w:val="auto"/>
        </w:rPr>
        <w:t>本文件由广东省体育局提出并归口。</w:t>
      </w:r>
    </w:p>
    <w:p w14:paraId="455D95F7">
      <w:pPr>
        <w:pStyle w:val="66"/>
        <w:ind w:firstLine="420"/>
        <w:rPr>
          <w:color w:val="auto"/>
        </w:rPr>
      </w:pPr>
      <w:r>
        <w:rPr>
          <w:rFonts w:hint="eastAsia"/>
          <w:color w:val="auto"/>
        </w:rPr>
        <w:t>本文件起草单位：广东省体育局、广东省社会组织管理局、北京华安联合认证检测中心有限公司、广东省体育科学研究所、广州体育学院。</w:t>
      </w:r>
    </w:p>
    <w:p w14:paraId="0AADC37E">
      <w:pPr>
        <w:pStyle w:val="66"/>
        <w:ind w:firstLine="420"/>
        <w:rPr>
          <w:color w:val="auto"/>
        </w:rPr>
      </w:pPr>
      <w:r>
        <w:rPr>
          <w:rFonts w:hint="eastAsia"/>
          <w:color w:val="auto"/>
        </w:rPr>
        <w:t>本文件主要起草人：</w:t>
      </w:r>
    </w:p>
    <w:p w14:paraId="149B360A">
      <w:pPr>
        <w:pStyle w:val="66"/>
        <w:ind w:firstLine="420"/>
        <w:rPr>
          <w:color w:val="auto"/>
        </w:rPr>
      </w:pPr>
      <w:r>
        <w:rPr>
          <w:rFonts w:hint="eastAsia"/>
          <w:color w:val="auto"/>
        </w:rPr>
        <w:t>本文件为首次发布。</w:t>
      </w:r>
    </w:p>
    <w:p w14:paraId="2D5CD38C">
      <w:pPr>
        <w:pStyle w:val="66"/>
        <w:ind w:firstLine="420"/>
        <w:rPr>
          <w:color w:val="auto"/>
        </w:rPr>
      </w:pPr>
    </w:p>
    <w:p w14:paraId="22712966">
      <w:pPr>
        <w:pStyle w:val="66"/>
        <w:ind w:firstLine="420"/>
        <w:rPr>
          <w:color w:val="auto"/>
        </w:rPr>
        <w:sectPr>
          <w:pgSz w:w="11906" w:h="16838"/>
          <w:pgMar w:top="1928" w:right="1134" w:bottom="1134" w:left="1134" w:header="1418" w:footer="1134" w:gutter="284"/>
          <w:pgNumType w:fmt="upperRoman"/>
          <w:cols w:space="425" w:num="1"/>
          <w:formProt w:val="0"/>
          <w:docGrid w:type="lines" w:linePitch="312" w:charSpace="0"/>
        </w:sectPr>
      </w:pPr>
    </w:p>
    <w:bookmarkEnd w:id="25"/>
    <w:p w14:paraId="5787087F">
      <w:pPr>
        <w:spacing w:line="20" w:lineRule="exact"/>
        <w:jc w:val="center"/>
        <w:rPr>
          <w:rFonts w:hint="eastAsia" w:ascii="黑体" w:hAnsi="黑体" w:eastAsia="黑体"/>
          <w:color w:val="auto"/>
          <w:sz w:val="32"/>
          <w:szCs w:val="32"/>
        </w:rPr>
      </w:pPr>
      <w:bookmarkStart w:id="26" w:name="BookMark4"/>
    </w:p>
    <w:p w14:paraId="7445A938">
      <w:pPr>
        <w:spacing w:line="20" w:lineRule="exact"/>
        <w:jc w:val="center"/>
        <w:rPr>
          <w:rFonts w:hint="eastAsia" w:ascii="黑体" w:hAnsi="黑体" w:eastAsia="黑体"/>
          <w:color w:val="auto"/>
          <w:sz w:val="32"/>
          <w:szCs w:val="32"/>
        </w:rPr>
      </w:pPr>
    </w:p>
    <w:sdt>
      <w:sdtPr>
        <w:rPr>
          <w:color w:val="auto"/>
        </w:rPr>
        <w:tag w:val="NEW_STAND_NAME"/>
        <w:id w:val="595910757"/>
        <w:lock w:val="sdtLocked"/>
        <w:placeholder>
          <w:docPart w:val="4A86C1559E7142AC80997C079E4CAD72"/>
        </w:placeholder>
      </w:sdtPr>
      <w:sdtEndPr>
        <w:rPr>
          <w:color w:val="auto"/>
        </w:rPr>
      </w:sdtEndPr>
      <w:sdtContent>
        <w:p w14:paraId="61E59144">
          <w:pPr>
            <w:pStyle w:val="187"/>
            <w:spacing w:before="3" w:beforeLines="1" w:after="686" w:afterLines="220"/>
            <w:rPr>
              <w:rFonts w:hint="eastAsia"/>
              <w:color w:val="auto"/>
            </w:rPr>
          </w:pPr>
          <w:bookmarkStart w:id="27" w:name="NEW_STAND_NAME"/>
          <w:r>
            <w:rPr>
              <w:rFonts w:hint="eastAsia"/>
              <w:color w:val="auto"/>
            </w:rPr>
            <w:t>省级体育社会团体建设指南</w:t>
          </w:r>
        </w:p>
      </w:sdtContent>
    </w:sdt>
    <w:bookmarkEnd w:id="27"/>
    <w:p w14:paraId="0C7B213E">
      <w:pPr>
        <w:pStyle w:val="114"/>
        <w:spacing w:before="312" w:after="312"/>
        <w:rPr>
          <w:color w:val="auto"/>
        </w:rPr>
      </w:pPr>
      <w:bookmarkStart w:id="28" w:name="_Toc26986771"/>
      <w:bookmarkStart w:id="29" w:name="_Toc24884218"/>
      <w:bookmarkStart w:id="30" w:name="_Toc97191423"/>
      <w:bookmarkStart w:id="31" w:name="_Toc26718930"/>
      <w:bookmarkStart w:id="32" w:name="_Toc22213"/>
      <w:bookmarkStart w:id="33" w:name="_Toc26986530"/>
      <w:bookmarkStart w:id="34" w:name="_Toc17233333"/>
      <w:bookmarkStart w:id="35" w:name="_Toc26648465"/>
      <w:bookmarkStart w:id="36" w:name="_Toc17233325"/>
      <w:bookmarkStart w:id="37" w:name="_Toc6313"/>
      <w:bookmarkStart w:id="38" w:name="_Toc24884211"/>
      <w:r>
        <w:rPr>
          <w:rFonts w:hint="eastAsia"/>
          <w:color w:val="auto"/>
        </w:rPr>
        <w:t>范围</w:t>
      </w:r>
      <w:bookmarkEnd w:id="28"/>
      <w:bookmarkEnd w:id="29"/>
      <w:bookmarkEnd w:id="30"/>
      <w:bookmarkEnd w:id="31"/>
      <w:bookmarkEnd w:id="32"/>
      <w:bookmarkEnd w:id="33"/>
      <w:bookmarkEnd w:id="34"/>
      <w:bookmarkEnd w:id="35"/>
      <w:bookmarkEnd w:id="36"/>
      <w:bookmarkEnd w:id="37"/>
      <w:bookmarkEnd w:id="38"/>
    </w:p>
    <w:p w14:paraId="13755ED8">
      <w:pPr>
        <w:pStyle w:val="28"/>
        <w:widowControl/>
        <w:spacing w:before="0" w:beforeAutospacing="0" w:after="0" w:afterAutospacing="0"/>
        <w:ind w:firstLine="420" w:firstLineChars="200"/>
        <w:rPr>
          <w:rFonts w:hint="eastAsia" w:ascii="宋体" w:hAnsi="Times New Roman" w:eastAsia="宋体" w:cs="Times New Roman"/>
          <w:color w:val="auto"/>
          <w:sz w:val="21"/>
          <w:szCs w:val="20"/>
        </w:rPr>
      </w:pPr>
      <w:bookmarkStart w:id="39" w:name="_Toc24884212"/>
      <w:bookmarkStart w:id="40" w:name="_Toc24884219"/>
      <w:bookmarkStart w:id="41" w:name="_Toc17233326"/>
      <w:bookmarkStart w:id="42" w:name="_Toc17233334"/>
      <w:bookmarkStart w:id="43" w:name="_Toc26648466"/>
      <w:r>
        <w:rPr>
          <w:rFonts w:hint="eastAsia" w:ascii="宋体" w:hAnsi="Times New Roman" w:eastAsia="宋体" w:cs="Times New Roman"/>
          <w:color w:val="auto"/>
          <w:sz w:val="21"/>
          <w:szCs w:val="20"/>
        </w:rPr>
        <w:t>本文件规定了广东省省级体育社会团体的</w:t>
      </w:r>
      <w:r>
        <w:rPr>
          <w:rFonts w:hint="eastAsia" w:ascii="宋体" w:hAnsi="Times New Roman" w:eastAsia="宋体" w:cs="Times New Roman"/>
          <w:color w:val="auto"/>
          <w:sz w:val="21"/>
          <w:szCs w:val="20"/>
          <w:lang w:val="en-US" w:eastAsia="zh-CN"/>
        </w:rPr>
        <w:t>法人治理</w:t>
      </w:r>
      <w:r>
        <w:rPr>
          <w:rFonts w:hint="eastAsia" w:ascii="宋体" w:hAnsi="Times New Roman" w:eastAsia="宋体" w:cs="Times New Roman"/>
          <w:color w:val="auto"/>
          <w:sz w:val="21"/>
          <w:szCs w:val="20"/>
        </w:rPr>
        <w:t>、管理与监督要求。</w:t>
      </w:r>
    </w:p>
    <w:p w14:paraId="3B874F5D">
      <w:pPr>
        <w:pStyle w:val="28"/>
        <w:widowControl/>
        <w:spacing w:before="0" w:beforeAutospacing="0" w:after="0" w:afterAutospacing="0"/>
        <w:ind w:firstLine="420" w:firstLineChars="200"/>
        <w:rPr>
          <w:rFonts w:hint="eastAsia" w:ascii="宋体" w:hAnsi="Times New Roman" w:eastAsia="宋体" w:cs="Times New Roman"/>
          <w:color w:val="auto"/>
          <w:sz w:val="21"/>
          <w:szCs w:val="20"/>
        </w:rPr>
      </w:pPr>
      <w:r>
        <w:rPr>
          <w:rFonts w:hint="eastAsia" w:ascii="宋体" w:hAnsi="Times New Roman" w:eastAsia="宋体" w:cs="Times New Roman"/>
          <w:color w:val="auto"/>
          <w:sz w:val="21"/>
          <w:szCs w:val="20"/>
        </w:rPr>
        <w:t>本文件适用于广东省省级体育社会团体的</w:t>
      </w:r>
      <w:r>
        <w:rPr>
          <w:rFonts w:hint="eastAsia" w:ascii="宋体" w:hAnsi="Times New Roman" w:eastAsia="宋体" w:cs="Times New Roman"/>
          <w:color w:val="auto"/>
          <w:sz w:val="21"/>
          <w:szCs w:val="20"/>
          <w:lang w:val="en-US" w:eastAsia="zh-CN"/>
        </w:rPr>
        <w:t>建设</w:t>
      </w:r>
      <w:r>
        <w:rPr>
          <w:rFonts w:hint="eastAsia" w:ascii="宋体" w:hAnsi="Times New Roman" w:eastAsia="宋体" w:cs="Times New Roman"/>
          <w:color w:val="auto"/>
          <w:sz w:val="21"/>
          <w:szCs w:val="20"/>
        </w:rPr>
        <w:t>、管理与监督，其他体育社会团体参照执行。</w:t>
      </w:r>
    </w:p>
    <w:p w14:paraId="04B026E1">
      <w:pPr>
        <w:pStyle w:val="114"/>
        <w:spacing w:before="312" w:after="312"/>
        <w:rPr>
          <w:color w:val="auto"/>
        </w:rPr>
      </w:pPr>
      <w:bookmarkStart w:id="44" w:name="_Toc97191424"/>
      <w:bookmarkStart w:id="45" w:name="_Toc26718931"/>
      <w:bookmarkStart w:id="46" w:name="_Toc7298"/>
      <w:bookmarkStart w:id="47" w:name="_Toc26986772"/>
      <w:bookmarkStart w:id="48" w:name="_Toc26986531"/>
      <w:bookmarkStart w:id="49" w:name="_Toc28518"/>
      <w:r>
        <w:rPr>
          <w:rFonts w:hint="eastAsia"/>
          <w:color w:val="auto"/>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color w:val="auto"/>
        </w:rPr>
        <w:id w:val="715848253"/>
        <w:placeholder>
          <w:docPart w:val="AF94C139233748B9A95C77D39F94668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14:paraId="606D2F86">
          <w:pPr>
            <w:pStyle w:val="66"/>
            <w:ind w:firstLine="42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E424E56">
      <w:pPr>
        <w:pStyle w:val="66"/>
        <w:ind w:firstLine="420"/>
        <w:rPr>
          <w:color w:val="auto"/>
          <w:shd w:val="clear" w:color="auto" w:fill="FFFFFF"/>
        </w:rPr>
      </w:pPr>
      <w:r>
        <w:rPr>
          <w:rFonts w:hint="eastAsia"/>
          <w:color w:val="auto"/>
        </w:rPr>
        <w:t>GB/T 20004.1  团体标准化  第1部分：良好行为指南</w:t>
      </w:r>
    </w:p>
    <w:p w14:paraId="4D3828B8">
      <w:pPr>
        <w:pStyle w:val="66"/>
        <w:ind w:firstLine="420"/>
        <w:rPr>
          <w:color w:val="auto"/>
          <w:shd w:val="clear" w:color="auto" w:fill="FFFFFF"/>
        </w:rPr>
      </w:pPr>
      <w:r>
        <w:rPr>
          <w:rFonts w:hint="eastAsia"/>
          <w:color w:val="auto"/>
        </w:rPr>
        <w:t>GB/T 24421.2  服务业组织标准化工作指南  第2部分：标准体系</w:t>
      </w:r>
    </w:p>
    <w:p w14:paraId="32EA39E4">
      <w:pPr>
        <w:pStyle w:val="66"/>
        <w:ind w:firstLine="420"/>
        <w:rPr>
          <w:color w:val="auto"/>
          <w:shd w:val="clear" w:color="auto" w:fill="FFFFFF"/>
        </w:rPr>
      </w:pPr>
      <w:r>
        <w:rPr>
          <w:rFonts w:hint="eastAsia"/>
          <w:color w:val="auto"/>
          <w:shd w:val="clear" w:color="auto" w:fill="FFFFFF"/>
        </w:rPr>
        <w:t>GB/T 33170  大型活动安全要求</w:t>
      </w:r>
    </w:p>
    <w:p w14:paraId="138A8A2F">
      <w:pPr>
        <w:pStyle w:val="66"/>
        <w:ind w:firstLine="420"/>
        <w:rPr>
          <w:color w:val="auto"/>
          <w:shd w:val="clear" w:color="auto" w:fill="FFFFFF"/>
        </w:rPr>
      </w:pPr>
      <w:r>
        <w:rPr>
          <w:color w:val="auto"/>
          <w:shd w:val="clear" w:color="auto" w:fill="FFFFFF"/>
        </w:rPr>
        <w:t>MZ/T 211—2024</w:t>
      </w:r>
      <w:r>
        <w:rPr>
          <w:rFonts w:hint="eastAsia"/>
          <w:color w:val="auto"/>
          <w:shd w:val="clear" w:color="auto" w:fill="FFFFFF"/>
        </w:rPr>
        <w:t xml:space="preserve">  </w:t>
      </w:r>
      <w:r>
        <w:rPr>
          <w:color w:val="auto"/>
          <w:shd w:val="clear" w:color="auto" w:fill="FFFFFF"/>
        </w:rPr>
        <w:t>社会组织基础术语</w:t>
      </w:r>
    </w:p>
    <w:p w14:paraId="738A589A">
      <w:pPr>
        <w:pStyle w:val="66"/>
        <w:ind w:firstLine="420"/>
        <w:rPr>
          <w:color w:val="auto"/>
          <w:shd w:val="clear" w:color="auto" w:fill="FFFFFF"/>
        </w:rPr>
      </w:pPr>
      <w:r>
        <w:rPr>
          <w:color w:val="auto"/>
          <w:shd w:val="clear" w:color="auto" w:fill="FFFFFF"/>
          <w:lang w:eastAsia="zh-Hans"/>
        </w:rPr>
        <w:t>TY/T 1</w:t>
      </w:r>
      <w:r>
        <w:rPr>
          <w:rFonts w:hint="eastAsia"/>
          <w:color w:val="auto"/>
          <w:shd w:val="clear" w:color="auto" w:fill="FFFFFF"/>
        </w:rPr>
        <w:t>1</w:t>
      </w:r>
      <w:r>
        <w:rPr>
          <w:color w:val="auto"/>
          <w:shd w:val="clear" w:color="auto" w:fill="FFFFFF"/>
          <w:lang w:eastAsia="zh-Hans"/>
        </w:rPr>
        <w:t>0</w:t>
      </w:r>
      <w:r>
        <w:rPr>
          <w:rFonts w:hint="eastAsia"/>
          <w:color w:val="auto"/>
          <w:shd w:val="clear" w:color="auto" w:fill="FFFFFF"/>
        </w:rPr>
        <w:t>3  群众体育赛事活动办赛指南 编制内容与评估指引</w:t>
      </w:r>
    </w:p>
    <w:p w14:paraId="6229F545">
      <w:pPr>
        <w:pStyle w:val="66"/>
        <w:ind w:firstLine="420"/>
        <w:rPr>
          <w:color w:val="auto"/>
          <w:shd w:val="clear" w:color="auto" w:fill="FFFFFF"/>
        </w:rPr>
      </w:pPr>
      <w:r>
        <w:rPr>
          <w:color w:val="auto"/>
          <w:shd w:val="clear" w:color="auto" w:fill="FFFFFF"/>
          <w:lang w:eastAsia="zh-Hans"/>
        </w:rPr>
        <w:t>TY/T 1</w:t>
      </w:r>
      <w:r>
        <w:rPr>
          <w:rFonts w:hint="eastAsia"/>
          <w:color w:val="auto"/>
          <w:shd w:val="clear" w:color="auto" w:fill="FFFFFF"/>
        </w:rPr>
        <w:t>1</w:t>
      </w:r>
      <w:r>
        <w:rPr>
          <w:color w:val="auto"/>
          <w:shd w:val="clear" w:color="auto" w:fill="FFFFFF"/>
          <w:lang w:eastAsia="zh-Hans"/>
        </w:rPr>
        <w:t>0</w:t>
      </w:r>
      <w:r>
        <w:rPr>
          <w:rFonts w:hint="eastAsia"/>
          <w:color w:val="auto"/>
          <w:shd w:val="clear" w:color="auto" w:fill="FFFFFF"/>
        </w:rPr>
        <w:t>4  群众体育赛事活动参赛指引 编制内容与评估指引</w:t>
      </w:r>
    </w:p>
    <w:p w14:paraId="41FF7836">
      <w:pPr>
        <w:pStyle w:val="66"/>
        <w:ind w:firstLine="420"/>
        <w:rPr>
          <w:color w:val="auto"/>
          <w:shd w:val="clear" w:color="auto" w:fill="FFFFFF"/>
        </w:rPr>
      </w:pPr>
      <w:r>
        <w:rPr>
          <w:color w:val="auto"/>
          <w:shd w:val="clear" w:color="auto" w:fill="FFFFFF"/>
          <w:lang w:eastAsia="zh-Hans"/>
        </w:rPr>
        <w:t>TY/T 1</w:t>
      </w:r>
      <w:r>
        <w:rPr>
          <w:rFonts w:hint="eastAsia"/>
          <w:color w:val="auto"/>
          <w:shd w:val="clear" w:color="auto" w:fill="FFFFFF"/>
        </w:rPr>
        <w:t>1</w:t>
      </w:r>
      <w:r>
        <w:rPr>
          <w:color w:val="auto"/>
          <w:shd w:val="clear" w:color="auto" w:fill="FFFFFF"/>
          <w:lang w:eastAsia="zh-Hans"/>
        </w:rPr>
        <w:t>0</w:t>
      </w:r>
      <w:r>
        <w:rPr>
          <w:rFonts w:hint="eastAsia"/>
          <w:color w:val="auto"/>
          <w:shd w:val="clear" w:color="auto" w:fill="FFFFFF"/>
        </w:rPr>
        <w:t>5  群众体育赛事活动安全评估技术导则</w:t>
      </w:r>
    </w:p>
    <w:p w14:paraId="1B2E1706">
      <w:pPr>
        <w:pStyle w:val="66"/>
        <w:ind w:firstLine="420"/>
        <w:rPr>
          <w:color w:val="auto"/>
          <w:shd w:val="clear" w:color="auto" w:fill="FFFFFF"/>
        </w:rPr>
      </w:pPr>
      <w:r>
        <w:rPr>
          <w:color w:val="auto"/>
          <w:shd w:val="clear" w:color="auto" w:fill="FFFFFF"/>
          <w:lang w:eastAsia="zh-Hans"/>
        </w:rPr>
        <w:t>TY/T 1</w:t>
      </w:r>
      <w:r>
        <w:rPr>
          <w:rFonts w:hint="eastAsia"/>
          <w:color w:val="auto"/>
          <w:shd w:val="clear" w:color="auto" w:fill="FFFFFF"/>
        </w:rPr>
        <w:t>1</w:t>
      </w:r>
      <w:r>
        <w:rPr>
          <w:color w:val="auto"/>
          <w:shd w:val="clear" w:color="auto" w:fill="FFFFFF"/>
          <w:lang w:eastAsia="zh-Hans"/>
        </w:rPr>
        <w:t>0</w:t>
      </w:r>
      <w:r>
        <w:rPr>
          <w:rFonts w:hint="eastAsia"/>
          <w:color w:val="auto"/>
          <w:shd w:val="clear" w:color="auto" w:fill="FFFFFF"/>
        </w:rPr>
        <w:t>6  群众体育赛事活动运营服务规范</w:t>
      </w:r>
    </w:p>
    <w:p w14:paraId="125B63F1">
      <w:pPr>
        <w:pStyle w:val="66"/>
        <w:ind w:firstLine="420"/>
        <w:rPr>
          <w:color w:val="auto"/>
          <w:shd w:val="clear" w:color="auto" w:fill="FFFFFF"/>
        </w:rPr>
      </w:pPr>
      <w:r>
        <w:rPr>
          <w:color w:val="auto"/>
          <w:shd w:val="clear" w:color="auto" w:fill="FFFFFF"/>
        </w:rPr>
        <w:t xml:space="preserve">DB44/T 2368 </w:t>
      </w:r>
      <w:r>
        <w:rPr>
          <w:rFonts w:hint="eastAsia"/>
          <w:color w:val="auto"/>
          <w:shd w:val="clear" w:color="auto" w:fill="FFFFFF"/>
        </w:rPr>
        <w:t xml:space="preserve"> </w:t>
      </w:r>
      <w:r>
        <w:rPr>
          <w:color w:val="auto"/>
          <w:shd w:val="clear" w:color="auto" w:fill="FFFFFF"/>
        </w:rPr>
        <w:t>社会组织</w:t>
      </w:r>
      <w:r>
        <w:rPr>
          <w:rFonts w:hint="eastAsia"/>
          <w:color w:val="auto"/>
          <w:shd w:val="clear" w:color="auto" w:fill="FFFFFF"/>
        </w:rPr>
        <w:t>能力建设</w:t>
      </w:r>
      <w:r>
        <w:rPr>
          <w:color w:val="auto"/>
          <w:shd w:val="clear" w:color="auto" w:fill="FFFFFF"/>
        </w:rPr>
        <w:t>指南</w:t>
      </w:r>
    </w:p>
    <w:p w14:paraId="3249083E">
      <w:pPr>
        <w:pStyle w:val="66"/>
        <w:ind w:firstLine="420"/>
        <w:rPr>
          <w:color w:val="auto"/>
          <w:shd w:val="clear" w:color="auto" w:fill="FFFFFF"/>
        </w:rPr>
      </w:pPr>
      <w:r>
        <w:rPr>
          <w:color w:val="auto"/>
          <w:shd w:val="clear" w:color="auto" w:fill="FFFFFF"/>
        </w:rPr>
        <w:t xml:space="preserve">DB44/T 2369 </w:t>
      </w:r>
      <w:r>
        <w:rPr>
          <w:rFonts w:hint="eastAsia"/>
          <w:color w:val="auto"/>
          <w:shd w:val="clear" w:color="auto" w:fill="FFFFFF"/>
        </w:rPr>
        <w:t xml:space="preserve"> </w:t>
      </w:r>
      <w:r>
        <w:rPr>
          <w:color w:val="auto"/>
          <w:shd w:val="clear" w:color="auto" w:fill="FFFFFF"/>
        </w:rPr>
        <w:t>社会组织管理人才培养指南</w:t>
      </w:r>
      <w:r>
        <w:rPr>
          <w:rFonts w:hint="eastAsia"/>
          <w:color w:val="auto"/>
          <w:shd w:val="clear" w:color="auto" w:fill="FFFFFF"/>
        </w:rPr>
        <w:t xml:space="preserve"> </w:t>
      </w:r>
    </w:p>
    <w:p w14:paraId="79720540">
      <w:pPr>
        <w:pStyle w:val="114"/>
        <w:spacing w:before="312" w:after="312"/>
        <w:rPr>
          <w:color w:val="auto"/>
        </w:rPr>
      </w:pPr>
      <w:bookmarkStart w:id="50" w:name="_Toc23294"/>
      <w:bookmarkStart w:id="51" w:name="_Toc20703"/>
      <w:bookmarkStart w:id="52" w:name="_Toc97191425"/>
      <w:r>
        <w:rPr>
          <w:rFonts w:hint="eastAsia"/>
          <w:color w:val="auto"/>
          <w:szCs w:val="21"/>
        </w:rPr>
        <w:t>术语和定义</w:t>
      </w:r>
      <w:bookmarkEnd w:id="50"/>
      <w:bookmarkEnd w:id="51"/>
      <w:bookmarkEnd w:id="52"/>
    </w:p>
    <w:sdt>
      <w:sdtPr>
        <w:rPr>
          <w:color w:val="auto"/>
        </w:rPr>
        <w:id w:val="-1909835108"/>
        <w:placeholder>
          <w:docPart w:val="E88BE41D328E4984A2161E47991CFC5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p w14:paraId="77E9CB86">
          <w:pPr>
            <w:pStyle w:val="66"/>
            <w:ind w:firstLine="420"/>
            <w:rPr>
              <w:color w:val="auto"/>
            </w:rPr>
          </w:pPr>
          <w:bookmarkStart w:id="53" w:name="_Toc26986532"/>
          <w:bookmarkEnd w:id="53"/>
          <w:r>
            <w:rPr>
              <w:color w:val="auto"/>
            </w:rPr>
            <w:t>下列术语和定义适用于本文件。</w:t>
          </w:r>
        </w:p>
      </w:sdtContent>
    </w:sdt>
    <w:p w14:paraId="2377BDA9">
      <w:pPr>
        <w:pStyle w:val="233"/>
        <w:ind w:left="420" w:hanging="420" w:hangingChars="200"/>
        <w:rPr>
          <w:rFonts w:hint="eastAsia" w:ascii="黑体" w:hAnsi="黑体" w:eastAsia="黑体" w:cs="宋体"/>
          <w:color w:val="auto"/>
        </w:rPr>
      </w:pPr>
    </w:p>
    <w:p w14:paraId="3458D5A6">
      <w:pPr>
        <w:pStyle w:val="233"/>
        <w:numPr>
          <w:ilvl w:val="2"/>
          <w:numId w:val="0"/>
        </w:numPr>
        <w:ind w:left="-420" w:leftChars="-200" w:firstLine="840" w:firstLineChars="400"/>
        <w:rPr>
          <w:rFonts w:hint="eastAsia" w:ascii="黑体" w:hAnsi="黑体" w:eastAsia="黑体" w:cs="宋体"/>
          <w:color w:val="auto"/>
        </w:rPr>
      </w:pPr>
      <w:r>
        <w:rPr>
          <w:rFonts w:hint="eastAsia" w:ascii="黑体" w:hAnsi="黑体" w:eastAsia="黑体" w:cs="宋体"/>
          <w:color w:val="auto"/>
        </w:rPr>
        <w:t>社会团体</w:t>
      </w:r>
    </w:p>
    <w:p w14:paraId="419C2780">
      <w:pPr>
        <w:pStyle w:val="28"/>
        <w:widowControl/>
        <w:spacing w:before="0" w:beforeAutospacing="0" w:after="0" w:afterAutospacing="0"/>
        <w:ind w:firstLine="420" w:firstLineChars="200"/>
        <w:rPr>
          <w:rFonts w:hint="eastAsia" w:ascii="宋体" w:hAnsi="Times New Roman" w:eastAsia="宋体" w:cs="Times New Roman"/>
          <w:color w:val="auto"/>
          <w:sz w:val="21"/>
          <w:szCs w:val="20"/>
        </w:rPr>
      </w:pPr>
      <w:r>
        <w:rPr>
          <w:rFonts w:hint="eastAsia" w:ascii="宋体" w:hAnsi="Times New Roman" w:eastAsia="宋体" w:cs="Times New Roman"/>
          <w:color w:val="auto"/>
          <w:sz w:val="21"/>
          <w:szCs w:val="20"/>
        </w:rPr>
        <w:t>中国公民自愿组成，为实现会员共同意愿，按照其章程开展活动的非营利性社会组织。</w:t>
      </w:r>
    </w:p>
    <w:p w14:paraId="3983895D">
      <w:pPr>
        <w:pStyle w:val="114"/>
        <w:spacing w:before="312" w:after="312"/>
        <w:rPr>
          <w:color w:val="auto"/>
          <w:szCs w:val="21"/>
        </w:rPr>
      </w:pPr>
      <w:bookmarkStart w:id="54" w:name="_Toc19166"/>
      <w:r>
        <w:rPr>
          <w:rFonts w:hint="eastAsia"/>
          <w:color w:val="auto"/>
          <w:szCs w:val="21"/>
        </w:rPr>
        <w:t>法人治理</w:t>
      </w:r>
      <w:bookmarkEnd w:id="54"/>
    </w:p>
    <w:p w14:paraId="6E01184B">
      <w:pPr>
        <w:pStyle w:val="115"/>
        <w:spacing w:before="156" w:after="156"/>
        <w:ind w:left="0"/>
        <w:rPr>
          <w:color w:val="auto"/>
        </w:rPr>
      </w:pPr>
      <w:bookmarkStart w:id="55" w:name="_Toc11574"/>
      <w:bookmarkStart w:id="56" w:name="_Toc10737"/>
      <w:r>
        <w:rPr>
          <w:rFonts w:hint="eastAsia"/>
          <w:color w:val="auto"/>
        </w:rPr>
        <w:t>党组织</w:t>
      </w:r>
      <w:bookmarkEnd w:id="55"/>
      <w:r>
        <w:rPr>
          <w:rFonts w:hint="eastAsia"/>
          <w:color w:val="auto"/>
        </w:rPr>
        <w:t>建设</w:t>
      </w:r>
      <w:bookmarkEnd w:id="56"/>
    </w:p>
    <w:p w14:paraId="5C122403">
      <w:pPr>
        <w:pStyle w:val="75"/>
        <w:spacing w:before="156" w:after="156"/>
        <w:ind w:left="0"/>
        <w:rPr>
          <w:color w:val="auto"/>
        </w:rPr>
      </w:pPr>
      <w:bookmarkStart w:id="57" w:name="_Toc15907"/>
      <w:bookmarkStart w:id="58" w:name="_Toc11922"/>
      <w:r>
        <w:rPr>
          <w:rFonts w:hint="eastAsia"/>
          <w:color w:val="auto"/>
        </w:rPr>
        <w:t>组建要求</w:t>
      </w:r>
      <w:bookmarkEnd w:id="57"/>
      <w:bookmarkEnd w:id="58"/>
    </w:p>
    <w:p w14:paraId="0A2F88F1">
      <w:pPr>
        <w:pStyle w:val="174"/>
        <w:ind w:left="0"/>
        <w:rPr>
          <w:color w:val="auto"/>
        </w:rPr>
      </w:pPr>
      <w:r>
        <w:rPr>
          <w:rFonts w:hint="eastAsia"/>
          <w:color w:val="auto"/>
        </w:rPr>
        <w:t xml:space="preserve">正式党员有3名以上的体育社会团体，应成立党支部。正式党员不足3人的体育社会团体，应当在所在地社区党组织管理下，成立联合党支部，或者加入社区党建部门的管理，参加党支部活动。联合党支部覆盖单位一般不超过5个。 </w:t>
      </w:r>
    </w:p>
    <w:p w14:paraId="3643410D">
      <w:pPr>
        <w:pStyle w:val="174"/>
        <w:ind w:left="0"/>
        <w:rPr>
          <w:color w:val="auto"/>
        </w:rPr>
      </w:pPr>
      <w:r>
        <w:rPr>
          <w:rFonts w:hint="eastAsia"/>
          <w:color w:val="auto"/>
        </w:rPr>
        <w:t>正式党员7人以上的党支部，应当设立党支部委员会。正式党员不足7人的党支部，设1名书记，必要时可以设1名副书记。</w:t>
      </w:r>
    </w:p>
    <w:p w14:paraId="1441B31A">
      <w:pPr>
        <w:pStyle w:val="174"/>
        <w:ind w:left="0"/>
        <w:rPr>
          <w:color w:val="auto"/>
        </w:rPr>
      </w:pPr>
      <w:r>
        <w:rPr>
          <w:rFonts w:hint="eastAsia"/>
          <w:color w:val="auto"/>
        </w:rPr>
        <w:t>暂不具备</w:t>
      </w:r>
      <w:r>
        <w:rPr>
          <w:color w:val="auto"/>
        </w:rPr>
        <w:t>组建条件的，通过选派党建工作指导员、联络员或建立工会、共青团组织等途径开展党的工作，全面落实党的组织生活制度</w:t>
      </w:r>
      <w:r>
        <w:rPr>
          <w:rFonts w:hint="eastAsia"/>
          <w:color w:val="auto"/>
        </w:rPr>
        <w:t>。</w:t>
      </w:r>
    </w:p>
    <w:p w14:paraId="3D325774">
      <w:pPr>
        <w:pStyle w:val="174"/>
        <w:ind w:left="0"/>
        <w:rPr>
          <w:color w:val="auto"/>
        </w:rPr>
      </w:pPr>
      <w:r>
        <w:rPr>
          <w:rFonts w:hint="eastAsia"/>
          <w:color w:val="auto"/>
        </w:rPr>
        <w:t>选优配强党组织负责人，党组织书记一般从体育社会团体内部产生，提倡党员体育社会团体负责人担任党组织书记。体育社会团体负责人不是党员的</w:t>
      </w:r>
      <w:r>
        <w:rPr>
          <w:color w:val="auto"/>
        </w:rPr>
        <w:t>，可从管理层中选拔党组织书记。</w:t>
      </w:r>
      <w:r>
        <w:rPr>
          <w:rFonts w:hint="eastAsia"/>
          <w:color w:val="auto"/>
        </w:rPr>
        <w:t>体育社会团体</w:t>
      </w:r>
      <w:r>
        <w:rPr>
          <w:color w:val="auto"/>
        </w:rPr>
        <w:t>中没有合适人选的，可提请上级党组织选派，再按党内有关规定任职。根据工作实际，配备专兼职党务工作者</w:t>
      </w:r>
      <w:r>
        <w:rPr>
          <w:rFonts w:hint="eastAsia"/>
          <w:color w:val="auto"/>
        </w:rPr>
        <w:t>。</w:t>
      </w:r>
    </w:p>
    <w:p w14:paraId="17370E61">
      <w:pPr>
        <w:pStyle w:val="75"/>
        <w:spacing w:before="156" w:after="156"/>
        <w:ind w:left="0"/>
        <w:rPr>
          <w:color w:val="auto"/>
        </w:rPr>
      </w:pPr>
      <w:bookmarkStart w:id="59" w:name="_Toc138599357"/>
      <w:bookmarkStart w:id="60" w:name="_Toc6294"/>
      <w:bookmarkStart w:id="61" w:name="_Toc23751"/>
      <w:bookmarkStart w:id="62" w:name="_Toc2233"/>
      <w:bookmarkStart w:id="63" w:name="_Toc21905"/>
      <w:bookmarkStart w:id="64" w:name="_Toc29014"/>
      <w:bookmarkStart w:id="65" w:name="_Toc28242"/>
      <w:r>
        <w:rPr>
          <w:rFonts w:hint="eastAsia"/>
          <w:color w:val="auto"/>
        </w:rPr>
        <w:t>管理要求</w:t>
      </w:r>
      <w:bookmarkEnd w:id="59"/>
      <w:bookmarkEnd w:id="60"/>
      <w:bookmarkEnd w:id="61"/>
      <w:bookmarkEnd w:id="62"/>
      <w:bookmarkEnd w:id="63"/>
      <w:bookmarkEnd w:id="64"/>
      <w:bookmarkEnd w:id="65"/>
    </w:p>
    <w:p w14:paraId="342D5298">
      <w:pPr>
        <w:pStyle w:val="174"/>
        <w:ind w:left="0"/>
        <w:rPr>
          <w:color w:val="auto"/>
        </w:rPr>
      </w:pPr>
      <w:r>
        <w:rPr>
          <w:rFonts w:hint="eastAsia"/>
          <w:color w:val="auto"/>
        </w:rPr>
        <w:t>未脱钩的体育社会团体的党建工作，由省体育局机关党委负责管理。已脱钩的体育社会团体的党建工作，由省社会</w:t>
      </w:r>
      <w:r>
        <w:rPr>
          <w:rFonts w:hint="eastAsia"/>
          <w:color w:val="auto"/>
          <w:lang w:val="en-US" w:eastAsia="zh-CN"/>
        </w:rPr>
        <w:t>组织</w:t>
      </w:r>
      <w:r>
        <w:rPr>
          <w:rFonts w:hint="eastAsia"/>
          <w:color w:val="auto"/>
        </w:rPr>
        <w:t>党委负责管理，省体育局机关党委协助。</w:t>
      </w:r>
    </w:p>
    <w:p w14:paraId="75D6D4D9">
      <w:pPr>
        <w:pStyle w:val="174"/>
        <w:ind w:left="0"/>
        <w:rPr>
          <w:color w:val="auto"/>
        </w:rPr>
      </w:pPr>
      <w:r>
        <w:rPr>
          <w:rFonts w:hint="eastAsia"/>
          <w:color w:val="auto"/>
        </w:rPr>
        <w:t>体育社会团体应在章程中明确党建工作。</w:t>
      </w:r>
    </w:p>
    <w:p w14:paraId="64F467D7">
      <w:pPr>
        <w:pStyle w:val="174"/>
        <w:ind w:left="0"/>
        <w:rPr>
          <w:color w:val="auto"/>
        </w:rPr>
      </w:pPr>
      <w:r>
        <w:rPr>
          <w:rFonts w:hint="eastAsia"/>
          <w:color w:val="auto"/>
        </w:rPr>
        <w:t>党组织开展组织生活要求见《中国共产党党章》《中国共产党支部工作条例（试行）》。</w:t>
      </w:r>
    </w:p>
    <w:p w14:paraId="3A6723B5">
      <w:pPr>
        <w:pStyle w:val="174"/>
        <w:ind w:left="0"/>
        <w:rPr>
          <w:color w:val="auto"/>
        </w:rPr>
      </w:pPr>
      <w:r>
        <w:rPr>
          <w:rFonts w:hint="eastAsia"/>
          <w:color w:val="auto"/>
        </w:rPr>
        <w:t>体育社会团体应制定会费等其他收入补充党建工作经费制度，使用和管理财政专项资金见《广东省非公有制经济组织和社会组织党建工作财政专项经费使用管理暂行办法》要求，规范审批、报销及票据使用。</w:t>
      </w:r>
    </w:p>
    <w:p w14:paraId="249B9A0A">
      <w:pPr>
        <w:pStyle w:val="174"/>
        <w:ind w:left="0"/>
        <w:rPr>
          <w:color w:val="auto"/>
        </w:rPr>
      </w:pPr>
      <w:r>
        <w:rPr>
          <w:rFonts w:hint="eastAsia"/>
          <w:color w:val="auto"/>
        </w:rPr>
        <w:t>党组织的制度建设和工作任务情况见《广东省党支部规范化建设相关指导意见》要求。</w:t>
      </w:r>
    </w:p>
    <w:p w14:paraId="10FAD0C2">
      <w:pPr>
        <w:pStyle w:val="174"/>
        <w:ind w:left="0"/>
        <w:rPr>
          <w:color w:val="auto"/>
        </w:rPr>
      </w:pPr>
      <w:r>
        <w:rPr>
          <w:rFonts w:hint="eastAsia"/>
          <w:color w:val="auto"/>
        </w:rPr>
        <w:t>组织生活规范管理要求如下：</w:t>
      </w:r>
    </w:p>
    <w:p w14:paraId="31E8FC2B">
      <w:pPr>
        <w:pStyle w:val="184"/>
        <w:numPr>
          <w:ilvl w:val="0"/>
          <w:numId w:val="33"/>
        </w:numPr>
        <w:rPr>
          <w:color w:val="auto"/>
        </w:rPr>
      </w:pPr>
      <w:r>
        <w:rPr>
          <w:rFonts w:hint="eastAsia"/>
          <w:color w:val="auto"/>
        </w:rPr>
        <w:t>“三会一课”：党员大会、党支部委员会会议、党小组会、党课应定期开展；</w:t>
      </w:r>
    </w:p>
    <w:p w14:paraId="235949EB">
      <w:pPr>
        <w:pStyle w:val="184"/>
        <w:numPr>
          <w:ilvl w:val="0"/>
          <w:numId w:val="33"/>
        </w:numPr>
        <w:rPr>
          <w:color w:val="auto"/>
        </w:rPr>
      </w:pPr>
      <w:r>
        <w:rPr>
          <w:rFonts w:hint="eastAsia"/>
          <w:color w:val="auto"/>
        </w:rPr>
        <w:t>组织生活会：以党支部党员大会、党支部委员会会议或党小组会形式每年至少召开一次，可结合一并进行民主评议党员，会前应明确主题，会后制定整改措施；</w:t>
      </w:r>
    </w:p>
    <w:p w14:paraId="6AAA230B">
      <w:pPr>
        <w:pStyle w:val="184"/>
        <w:numPr>
          <w:ilvl w:val="0"/>
          <w:numId w:val="33"/>
        </w:numPr>
        <w:rPr>
          <w:color w:val="auto"/>
        </w:rPr>
      </w:pPr>
      <w:r>
        <w:rPr>
          <w:rFonts w:hint="eastAsia"/>
          <w:color w:val="auto"/>
        </w:rPr>
        <w:t>谈心谈话：党支部委员之间、党支部委员和党员之间、党员之间应经常开展谈心谈话；</w:t>
      </w:r>
    </w:p>
    <w:p w14:paraId="0A5698F6">
      <w:pPr>
        <w:pStyle w:val="184"/>
        <w:numPr>
          <w:ilvl w:val="0"/>
          <w:numId w:val="33"/>
        </w:numPr>
        <w:rPr>
          <w:color w:val="auto"/>
        </w:rPr>
      </w:pPr>
      <w:r>
        <w:rPr>
          <w:rFonts w:hint="eastAsia"/>
          <w:color w:val="auto"/>
        </w:rPr>
        <w:t>主题党日：应定期开展主题党日，可结合“三会一课”等制度进行，组织党员集中学习、过组织生活、进行民主议事和志愿服务等。</w:t>
      </w:r>
    </w:p>
    <w:p w14:paraId="6FC4199C">
      <w:pPr>
        <w:pStyle w:val="174"/>
        <w:ind w:left="0"/>
        <w:rPr>
          <w:color w:val="auto"/>
        </w:rPr>
      </w:pPr>
      <w:r>
        <w:rPr>
          <w:color w:val="auto"/>
        </w:rPr>
        <w:t>党组织</w:t>
      </w:r>
      <w:r>
        <w:rPr>
          <w:rFonts w:hint="eastAsia"/>
          <w:color w:val="auto"/>
        </w:rPr>
        <w:t>应</w:t>
      </w:r>
      <w:r>
        <w:rPr>
          <w:color w:val="auto"/>
        </w:rPr>
        <w:t>宣传和执行党的路线、方针、政策，推动有条件的</w:t>
      </w:r>
      <w:r>
        <w:rPr>
          <w:rFonts w:hint="eastAsia"/>
          <w:color w:val="auto"/>
        </w:rPr>
        <w:t>体育社会团体</w:t>
      </w:r>
      <w:r>
        <w:rPr>
          <w:color w:val="auto"/>
        </w:rPr>
        <w:t>建立工会、共青团、妇联等组织，领导群团组织工作，教育管理党员，引领服务群众，推动事业发展。对重要事项决策、重要业务活动、大额经费开支、接收大额捐赠、开展涉外活动等提出意见</w:t>
      </w:r>
      <w:r>
        <w:rPr>
          <w:rFonts w:hint="eastAsia"/>
          <w:color w:val="auto"/>
        </w:rPr>
        <w:t>。</w:t>
      </w:r>
    </w:p>
    <w:p w14:paraId="6A513442">
      <w:pPr>
        <w:pStyle w:val="115"/>
        <w:spacing w:before="156" w:after="156"/>
        <w:ind w:left="0"/>
        <w:rPr>
          <w:color w:val="auto"/>
        </w:rPr>
      </w:pPr>
      <w:bookmarkStart w:id="66" w:name="_Toc21632"/>
      <w:r>
        <w:rPr>
          <w:rFonts w:hint="eastAsia"/>
          <w:color w:val="auto"/>
        </w:rPr>
        <w:t>机构建设</w:t>
      </w:r>
      <w:bookmarkEnd w:id="66"/>
    </w:p>
    <w:p w14:paraId="5F8D1895">
      <w:pPr>
        <w:pStyle w:val="75"/>
        <w:spacing w:before="156" w:after="156"/>
        <w:ind w:left="0"/>
        <w:rPr>
          <w:color w:val="auto"/>
        </w:rPr>
      </w:pPr>
      <w:bookmarkStart w:id="67" w:name="_Toc4176"/>
      <w:r>
        <w:rPr>
          <w:rFonts w:hint="eastAsia"/>
          <w:color w:val="auto"/>
        </w:rPr>
        <w:t>权</w:t>
      </w:r>
      <w:r>
        <w:rPr>
          <w:rFonts w:hint="eastAsia"/>
          <w:color w:val="auto"/>
          <w:lang w:val="en-US" w:eastAsia="zh-CN"/>
        </w:rPr>
        <w:t>力</w:t>
      </w:r>
      <w:r>
        <w:rPr>
          <w:rFonts w:hint="eastAsia"/>
          <w:color w:val="auto"/>
        </w:rPr>
        <w:t>机构</w:t>
      </w:r>
      <w:bookmarkEnd w:id="67"/>
    </w:p>
    <w:p w14:paraId="5A91C8BE">
      <w:pPr>
        <w:pStyle w:val="174"/>
        <w:ind w:left="0"/>
        <w:rPr>
          <w:color w:val="auto"/>
        </w:rPr>
      </w:pPr>
      <w:r>
        <w:rPr>
          <w:color w:val="auto"/>
        </w:rPr>
        <w:t>建立健全会员（代表）大会工作制度</w:t>
      </w:r>
      <w:r>
        <w:rPr>
          <w:rFonts w:hint="eastAsia"/>
          <w:color w:val="auto"/>
        </w:rPr>
        <w:t>。</w:t>
      </w:r>
      <w:r>
        <w:rPr>
          <w:color w:val="auto"/>
        </w:rPr>
        <w:t xml:space="preserve"> </w:t>
      </w:r>
    </w:p>
    <w:p w14:paraId="0F255FB1">
      <w:pPr>
        <w:pStyle w:val="174"/>
        <w:ind w:left="0"/>
        <w:rPr>
          <w:color w:val="auto"/>
        </w:rPr>
      </w:pPr>
      <w:r>
        <w:rPr>
          <w:color w:val="auto"/>
        </w:rPr>
        <w:t>严格按照章程规定履行职责、行使职权，按规定召开会员（代表）大会，科学民主决策，形成会议记录和纪要，会员（代表）大会决议能够有效执行</w:t>
      </w:r>
      <w:r>
        <w:rPr>
          <w:rFonts w:hint="eastAsia"/>
          <w:color w:val="auto"/>
        </w:rPr>
        <w:t>。</w:t>
      </w:r>
    </w:p>
    <w:p w14:paraId="2105E7A6">
      <w:pPr>
        <w:pStyle w:val="75"/>
        <w:spacing w:before="156" w:after="156"/>
        <w:ind w:left="0"/>
        <w:rPr>
          <w:color w:val="auto"/>
        </w:rPr>
      </w:pPr>
      <w:bookmarkStart w:id="68" w:name="_Toc13798"/>
      <w:r>
        <w:rPr>
          <w:rFonts w:hint="eastAsia"/>
          <w:color w:val="auto"/>
        </w:rPr>
        <w:t>执行机构</w:t>
      </w:r>
      <w:bookmarkEnd w:id="68"/>
    </w:p>
    <w:p w14:paraId="25C078E1">
      <w:pPr>
        <w:pStyle w:val="174"/>
        <w:ind w:left="0"/>
        <w:rPr>
          <w:color w:val="auto"/>
        </w:rPr>
      </w:pPr>
      <w:r>
        <w:rPr>
          <w:color w:val="auto"/>
        </w:rPr>
        <w:t>建立健全理事会工作制度</w:t>
      </w:r>
      <w:r>
        <w:rPr>
          <w:rFonts w:hint="eastAsia"/>
          <w:color w:val="auto"/>
        </w:rPr>
        <w:t>，</w:t>
      </w:r>
      <w:r>
        <w:rPr>
          <w:color w:val="auto"/>
        </w:rPr>
        <w:t>理事的资格、产生和罢免程序清晰，</w:t>
      </w:r>
      <w:r>
        <w:rPr>
          <w:rFonts w:hint="eastAsia"/>
          <w:color w:val="auto"/>
        </w:rPr>
        <w:t>应</w:t>
      </w:r>
      <w:r>
        <w:rPr>
          <w:color w:val="auto"/>
        </w:rPr>
        <w:t>符合章程规定</w:t>
      </w:r>
      <w:r>
        <w:rPr>
          <w:rFonts w:hint="eastAsia"/>
          <w:color w:val="auto"/>
        </w:rPr>
        <w:t>，</w:t>
      </w:r>
      <w:r>
        <w:rPr>
          <w:color w:val="auto"/>
        </w:rPr>
        <w:t>理事及理事长职责、职权明确</w:t>
      </w:r>
      <w:r>
        <w:rPr>
          <w:rFonts w:hint="eastAsia"/>
          <w:color w:val="auto"/>
        </w:rPr>
        <w:t>。应</w:t>
      </w:r>
      <w:r>
        <w:rPr>
          <w:color w:val="auto"/>
        </w:rPr>
        <w:t>按规定召开理事会会议，科学民主决策</w:t>
      </w:r>
      <w:r>
        <w:rPr>
          <w:rFonts w:hint="eastAsia"/>
          <w:color w:val="auto"/>
        </w:rPr>
        <w:t>，</w:t>
      </w:r>
      <w:r>
        <w:rPr>
          <w:color w:val="auto"/>
        </w:rPr>
        <w:t>形成会议记录和纪要</w:t>
      </w:r>
      <w:r>
        <w:rPr>
          <w:rFonts w:hint="eastAsia"/>
          <w:color w:val="auto"/>
        </w:rPr>
        <w:t>，且</w:t>
      </w:r>
      <w:r>
        <w:rPr>
          <w:color w:val="auto"/>
        </w:rPr>
        <w:t>理事会决议能够有效执行</w:t>
      </w:r>
      <w:r>
        <w:rPr>
          <w:rFonts w:hint="eastAsia"/>
          <w:color w:val="auto"/>
        </w:rPr>
        <w:t>。</w:t>
      </w:r>
      <w:r>
        <w:rPr>
          <w:color w:val="auto"/>
        </w:rPr>
        <w:t xml:space="preserve"> </w:t>
      </w:r>
    </w:p>
    <w:p w14:paraId="4DC3E894">
      <w:pPr>
        <w:pStyle w:val="174"/>
        <w:ind w:left="0"/>
        <w:rPr>
          <w:color w:val="auto"/>
        </w:rPr>
      </w:pPr>
      <w:r>
        <w:rPr>
          <w:color w:val="auto"/>
        </w:rPr>
        <w:t>理事较多的</w:t>
      </w:r>
      <w:r>
        <w:rPr>
          <w:rFonts w:hint="eastAsia"/>
          <w:color w:val="auto"/>
        </w:rPr>
        <w:t>体育社会团体</w:t>
      </w:r>
      <w:r>
        <w:rPr>
          <w:color w:val="auto"/>
        </w:rPr>
        <w:t>，可按章程规定设立常务理事会</w:t>
      </w:r>
      <w:r>
        <w:rPr>
          <w:rFonts w:hint="eastAsia"/>
          <w:color w:val="auto"/>
        </w:rPr>
        <w:t>。</w:t>
      </w:r>
      <w:r>
        <w:rPr>
          <w:color w:val="auto"/>
        </w:rPr>
        <w:t>常务理事会由理事会选举产生，在理事会闭会期间按章程行使职权、履行职责</w:t>
      </w:r>
      <w:r>
        <w:rPr>
          <w:rFonts w:hint="eastAsia"/>
          <w:color w:val="auto"/>
        </w:rPr>
        <w:t>。应</w:t>
      </w:r>
      <w:r>
        <w:rPr>
          <w:color w:val="auto"/>
        </w:rPr>
        <w:t>按规定召开常务理事会会议，科学民主决策，形成会议记录和纪要</w:t>
      </w:r>
      <w:r>
        <w:rPr>
          <w:rFonts w:hint="eastAsia"/>
          <w:color w:val="auto"/>
        </w:rPr>
        <w:t>，</w:t>
      </w:r>
      <w:r>
        <w:rPr>
          <w:color w:val="auto"/>
        </w:rPr>
        <w:t>常务理事会决议能够有效执行</w:t>
      </w:r>
      <w:r>
        <w:rPr>
          <w:rFonts w:hint="eastAsia"/>
          <w:color w:val="auto"/>
        </w:rPr>
        <w:t>。</w:t>
      </w:r>
    </w:p>
    <w:p w14:paraId="1F273775">
      <w:pPr>
        <w:pStyle w:val="75"/>
        <w:spacing w:before="156" w:after="156"/>
        <w:ind w:left="0"/>
        <w:rPr>
          <w:color w:val="auto"/>
        </w:rPr>
      </w:pPr>
      <w:bookmarkStart w:id="69" w:name="_Toc24383"/>
      <w:r>
        <w:rPr>
          <w:rFonts w:hint="eastAsia"/>
          <w:color w:val="auto"/>
        </w:rPr>
        <w:t>监督机构</w:t>
      </w:r>
      <w:bookmarkEnd w:id="69"/>
    </w:p>
    <w:p w14:paraId="342B2BAD">
      <w:pPr>
        <w:pStyle w:val="174"/>
        <w:ind w:left="0"/>
        <w:rPr>
          <w:color w:val="auto"/>
        </w:rPr>
      </w:pPr>
      <w:r>
        <w:rPr>
          <w:color w:val="auto"/>
        </w:rPr>
        <w:t>根据章程规定和工作需要建立健全监事（会）工作制度，并为监事（会）有效开展工作提供必要的保障</w:t>
      </w:r>
      <w:r>
        <w:rPr>
          <w:rFonts w:hint="eastAsia"/>
          <w:color w:val="auto"/>
        </w:rPr>
        <w:t>。</w:t>
      </w:r>
      <w:r>
        <w:rPr>
          <w:color w:val="auto"/>
        </w:rPr>
        <w:t xml:space="preserve"> </w:t>
      </w:r>
    </w:p>
    <w:p w14:paraId="122D9EA6">
      <w:pPr>
        <w:pStyle w:val="174"/>
        <w:ind w:left="0"/>
        <w:rPr>
          <w:color w:val="auto"/>
        </w:rPr>
      </w:pPr>
      <w:r>
        <w:rPr>
          <w:color w:val="auto"/>
        </w:rPr>
        <w:t>监事（会）的设立和任职条件明确、产生和罢免程序清晰，符合章程规定</w:t>
      </w:r>
      <w:r>
        <w:rPr>
          <w:rFonts w:hint="eastAsia"/>
          <w:color w:val="auto"/>
        </w:rPr>
        <w:t>。</w:t>
      </w:r>
      <w:r>
        <w:rPr>
          <w:color w:val="auto"/>
        </w:rPr>
        <w:t>监事（监事长）职责、职权明确</w:t>
      </w:r>
      <w:r>
        <w:rPr>
          <w:rFonts w:hint="eastAsia"/>
          <w:color w:val="auto"/>
        </w:rPr>
        <w:t>。</w:t>
      </w:r>
      <w:r>
        <w:rPr>
          <w:color w:val="auto"/>
        </w:rPr>
        <w:t xml:space="preserve"> </w:t>
      </w:r>
    </w:p>
    <w:p w14:paraId="606E3554">
      <w:pPr>
        <w:pStyle w:val="174"/>
        <w:ind w:left="0"/>
        <w:rPr>
          <w:color w:val="auto"/>
        </w:rPr>
      </w:pPr>
      <w:r>
        <w:rPr>
          <w:color w:val="auto"/>
        </w:rPr>
        <w:t>监事（会）依法行使监督权，并为监事（会）有效开展工作提供必要的保障</w:t>
      </w:r>
      <w:r>
        <w:rPr>
          <w:rFonts w:hint="eastAsia"/>
          <w:color w:val="auto"/>
        </w:rPr>
        <w:t>。</w:t>
      </w:r>
    </w:p>
    <w:p w14:paraId="454572A3">
      <w:pPr>
        <w:pStyle w:val="75"/>
        <w:spacing w:before="156" w:after="156"/>
        <w:ind w:left="0"/>
        <w:rPr>
          <w:rFonts w:hint="eastAsia"/>
          <w:color w:val="auto"/>
        </w:rPr>
      </w:pPr>
      <w:bookmarkStart w:id="70" w:name="_Toc25945"/>
      <w:r>
        <w:rPr>
          <w:rFonts w:hint="eastAsia"/>
          <w:color w:val="auto"/>
        </w:rPr>
        <w:t>负责人队伍</w:t>
      </w:r>
      <w:bookmarkEnd w:id="70"/>
    </w:p>
    <w:p w14:paraId="4D0DE81A">
      <w:pPr>
        <w:pStyle w:val="174"/>
        <w:ind w:left="0"/>
        <w:rPr>
          <w:color w:val="auto"/>
        </w:rPr>
      </w:pPr>
      <w:r>
        <w:rPr>
          <w:color w:val="auto"/>
        </w:rPr>
        <w:t>负责人由会长（理事长）、副会长（副理事长）、秘书长组成，产生程序及人数</w:t>
      </w:r>
      <w:r>
        <w:rPr>
          <w:rFonts w:hint="eastAsia"/>
          <w:color w:val="auto"/>
        </w:rPr>
        <w:t>应</w:t>
      </w:r>
      <w:r>
        <w:rPr>
          <w:color w:val="auto"/>
        </w:rPr>
        <w:t>符合章程和有关规定</w:t>
      </w:r>
      <w:r>
        <w:rPr>
          <w:rFonts w:hint="eastAsia"/>
          <w:color w:val="auto"/>
        </w:rPr>
        <w:t>。</w:t>
      </w:r>
      <w:r>
        <w:rPr>
          <w:color w:val="auto"/>
        </w:rPr>
        <w:t xml:space="preserve"> </w:t>
      </w:r>
    </w:p>
    <w:p w14:paraId="44865485">
      <w:pPr>
        <w:pStyle w:val="174"/>
        <w:ind w:left="0"/>
        <w:rPr>
          <w:color w:val="auto"/>
        </w:rPr>
      </w:pPr>
      <w:r>
        <w:rPr>
          <w:color w:val="auto"/>
        </w:rPr>
        <w:t>理事长（会长）、秘书长不由同一人兼任，且不来自于同一会员单位</w:t>
      </w:r>
      <w:r>
        <w:rPr>
          <w:rFonts w:hint="eastAsia"/>
          <w:color w:val="auto"/>
        </w:rPr>
        <w:t>。</w:t>
      </w:r>
      <w:r>
        <w:rPr>
          <w:color w:val="auto"/>
        </w:rPr>
        <w:t xml:space="preserve"> 理事长（会长）、秘书长不兼任其他社会团体理事长（会长）、秘书长，且秘书长为专职</w:t>
      </w:r>
      <w:r>
        <w:rPr>
          <w:rFonts w:hint="eastAsia"/>
          <w:color w:val="auto"/>
        </w:rPr>
        <w:t>。</w:t>
      </w:r>
      <w:r>
        <w:rPr>
          <w:color w:val="auto"/>
        </w:rPr>
        <w:t>聘任的秘书长不担任法定代表人</w:t>
      </w:r>
      <w:r>
        <w:rPr>
          <w:rFonts w:hint="eastAsia"/>
          <w:color w:val="auto"/>
        </w:rPr>
        <w:t>。</w:t>
      </w:r>
    </w:p>
    <w:p w14:paraId="01B288C7">
      <w:pPr>
        <w:pStyle w:val="174"/>
        <w:ind w:left="0"/>
        <w:rPr>
          <w:color w:val="auto"/>
        </w:rPr>
      </w:pPr>
      <w:r>
        <w:rPr>
          <w:color w:val="auto"/>
        </w:rPr>
        <w:t>法定代表人一般由理事长（会长）担任，法定代表人不兼任其他社会团体的法定代表人</w:t>
      </w:r>
      <w:r>
        <w:rPr>
          <w:rFonts w:hint="eastAsia"/>
          <w:color w:val="auto"/>
        </w:rPr>
        <w:t>。</w:t>
      </w:r>
      <w:r>
        <w:rPr>
          <w:color w:val="auto"/>
        </w:rPr>
        <w:t xml:space="preserve"> </w:t>
      </w:r>
    </w:p>
    <w:p w14:paraId="0A552E8A">
      <w:pPr>
        <w:pStyle w:val="174"/>
        <w:ind w:left="0"/>
        <w:rPr>
          <w:color w:val="auto"/>
        </w:rPr>
      </w:pPr>
      <w:r>
        <w:rPr>
          <w:color w:val="auto"/>
        </w:rPr>
        <w:t>现职及退（离）休国家工作人员、军队人员、军休人员担任负责人的，严格按照干部管理权限审批</w:t>
      </w:r>
      <w:r>
        <w:rPr>
          <w:rFonts w:hint="eastAsia"/>
          <w:color w:val="auto"/>
        </w:rPr>
        <w:t>。</w:t>
      </w:r>
    </w:p>
    <w:p w14:paraId="4B42F261">
      <w:pPr>
        <w:pStyle w:val="75"/>
        <w:spacing w:before="156" w:after="156"/>
        <w:ind w:left="0"/>
        <w:rPr>
          <w:rFonts w:hint="eastAsia"/>
          <w:color w:val="auto"/>
        </w:rPr>
      </w:pPr>
      <w:bookmarkStart w:id="71" w:name="_Toc6990"/>
      <w:r>
        <w:rPr>
          <w:rFonts w:hint="eastAsia"/>
          <w:color w:val="auto"/>
        </w:rPr>
        <w:t>内部机构</w:t>
      </w:r>
      <w:bookmarkEnd w:id="71"/>
    </w:p>
    <w:p w14:paraId="2D117F60">
      <w:pPr>
        <w:pStyle w:val="174"/>
        <w:ind w:left="0"/>
        <w:rPr>
          <w:color w:val="auto"/>
        </w:rPr>
      </w:pPr>
      <w:r>
        <w:rPr>
          <w:color w:val="auto"/>
        </w:rPr>
        <w:t>机构架构设置</w:t>
      </w:r>
      <w:r>
        <w:rPr>
          <w:rFonts w:hint="eastAsia"/>
          <w:color w:val="auto"/>
        </w:rPr>
        <w:t>应</w:t>
      </w:r>
      <w:r>
        <w:rPr>
          <w:color w:val="auto"/>
        </w:rPr>
        <w:t>科学合理，内设部门名称以办公室、财务部、人事部、会员部、培训部、国际部、技术部、会展部等为宜，做到分工明确、协同配合、管理高效</w:t>
      </w:r>
      <w:r>
        <w:rPr>
          <w:rFonts w:hint="eastAsia"/>
          <w:color w:val="auto"/>
        </w:rPr>
        <w:t>。</w:t>
      </w:r>
      <w:r>
        <w:rPr>
          <w:color w:val="auto"/>
        </w:rPr>
        <w:t xml:space="preserve"> </w:t>
      </w:r>
    </w:p>
    <w:p w14:paraId="1E509494">
      <w:pPr>
        <w:pStyle w:val="174"/>
        <w:ind w:left="0"/>
        <w:rPr>
          <w:color w:val="auto"/>
        </w:rPr>
      </w:pPr>
      <w:r>
        <w:rPr>
          <w:color w:val="auto"/>
        </w:rPr>
        <w:t>在住所（主要办事机构所在地）的醒目位置悬挂登记证书</w:t>
      </w:r>
      <w:r>
        <w:rPr>
          <w:rFonts w:hint="eastAsia"/>
          <w:color w:val="auto"/>
        </w:rPr>
        <w:t>。</w:t>
      </w:r>
      <w:r>
        <w:rPr>
          <w:color w:val="auto"/>
        </w:rPr>
        <w:t xml:space="preserve"> </w:t>
      </w:r>
    </w:p>
    <w:p w14:paraId="3B872539">
      <w:pPr>
        <w:pStyle w:val="174"/>
        <w:ind w:left="0"/>
        <w:rPr>
          <w:color w:val="auto"/>
        </w:rPr>
      </w:pPr>
      <w:r>
        <w:rPr>
          <w:color w:val="auto"/>
        </w:rPr>
        <w:t>在办公场所外悬挂名称牌匾</w:t>
      </w:r>
      <w:r>
        <w:rPr>
          <w:rFonts w:hint="eastAsia"/>
          <w:color w:val="auto"/>
        </w:rPr>
        <w:t>。</w:t>
      </w:r>
    </w:p>
    <w:p w14:paraId="648FFBA6">
      <w:pPr>
        <w:pStyle w:val="75"/>
        <w:spacing w:before="156" w:after="156"/>
        <w:ind w:left="0"/>
        <w:rPr>
          <w:rFonts w:hint="eastAsia"/>
          <w:color w:val="auto"/>
        </w:rPr>
      </w:pPr>
      <w:bookmarkStart w:id="72" w:name="_Toc29842"/>
      <w:r>
        <w:rPr>
          <w:rFonts w:hint="eastAsia"/>
          <w:color w:val="auto"/>
        </w:rPr>
        <w:t>分支（代表）机构</w:t>
      </w:r>
      <w:bookmarkEnd w:id="72"/>
    </w:p>
    <w:p w14:paraId="7BB1D6E9">
      <w:pPr>
        <w:pStyle w:val="174"/>
        <w:ind w:left="0"/>
        <w:rPr>
          <w:color w:val="auto"/>
        </w:rPr>
      </w:pPr>
      <w:r>
        <w:rPr>
          <w:color w:val="auto"/>
        </w:rPr>
        <w:t>设立分支（代表）机构</w:t>
      </w:r>
      <w:r>
        <w:rPr>
          <w:rFonts w:hint="eastAsia"/>
          <w:color w:val="auto"/>
        </w:rPr>
        <w:t>应</w:t>
      </w:r>
      <w:r>
        <w:rPr>
          <w:color w:val="auto"/>
        </w:rPr>
        <w:t>符合章程规定的宗旨和业务范围，并与自身管理能力相适应，经理事会或常务理事会等民主决策程序表决通过</w:t>
      </w:r>
      <w:r>
        <w:rPr>
          <w:rFonts w:hint="eastAsia"/>
          <w:color w:val="auto"/>
        </w:rPr>
        <w:t>。</w:t>
      </w:r>
      <w:r>
        <w:rPr>
          <w:color w:val="auto"/>
        </w:rPr>
        <w:t xml:space="preserve"> </w:t>
      </w:r>
    </w:p>
    <w:p w14:paraId="57018C13">
      <w:pPr>
        <w:pStyle w:val="174"/>
        <w:ind w:left="0"/>
        <w:rPr>
          <w:color w:val="auto"/>
        </w:rPr>
      </w:pPr>
      <w:r>
        <w:rPr>
          <w:color w:val="auto"/>
        </w:rPr>
        <w:t>建立健全分支（代表）机构管理制度，加强对分支（代表）机构的监督管理，使其规范运行、有序发展</w:t>
      </w:r>
      <w:r>
        <w:rPr>
          <w:rFonts w:hint="eastAsia"/>
          <w:color w:val="auto"/>
        </w:rPr>
        <w:t>。</w:t>
      </w:r>
      <w:r>
        <w:rPr>
          <w:color w:val="auto"/>
        </w:rPr>
        <w:t xml:space="preserve"> </w:t>
      </w:r>
    </w:p>
    <w:p w14:paraId="3A7D506E">
      <w:pPr>
        <w:pStyle w:val="174"/>
        <w:ind w:left="0"/>
        <w:rPr>
          <w:color w:val="auto"/>
        </w:rPr>
      </w:pPr>
      <w:r>
        <w:rPr>
          <w:color w:val="auto"/>
        </w:rPr>
        <w:t>分支（代表）机构在</w:t>
      </w:r>
      <w:r>
        <w:rPr>
          <w:rFonts w:hint="eastAsia"/>
          <w:color w:val="auto"/>
        </w:rPr>
        <w:t>体育社会团体</w:t>
      </w:r>
      <w:r>
        <w:rPr>
          <w:color w:val="auto"/>
        </w:rPr>
        <w:t>的授权范围内开展活动，法律责任由所在的</w:t>
      </w:r>
      <w:r>
        <w:rPr>
          <w:rFonts w:hint="eastAsia"/>
          <w:color w:val="auto"/>
        </w:rPr>
        <w:t>体育社会团体</w:t>
      </w:r>
      <w:r>
        <w:rPr>
          <w:color w:val="auto"/>
        </w:rPr>
        <w:t>承担</w:t>
      </w:r>
      <w:r>
        <w:rPr>
          <w:rFonts w:hint="eastAsia"/>
          <w:color w:val="auto"/>
        </w:rPr>
        <w:t>。</w:t>
      </w:r>
    </w:p>
    <w:p w14:paraId="0A1774C0">
      <w:pPr>
        <w:pStyle w:val="174"/>
        <w:ind w:left="0"/>
        <w:rPr>
          <w:color w:val="auto"/>
        </w:rPr>
      </w:pPr>
      <w:r>
        <w:rPr>
          <w:color w:val="auto"/>
        </w:rPr>
        <w:t>不设立地域性的分支机构</w:t>
      </w:r>
      <w:r>
        <w:rPr>
          <w:rFonts w:hint="eastAsia"/>
          <w:color w:val="auto"/>
        </w:rPr>
        <w:t>，</w:t>
      </w:r>
      <w:r>
        <w:rPr>
          <w:color w:val="auto"/>
        </w:rPr>
        <w:t>分支（代表）机构不再设立分支（代表）机构</w:t>
      </w:r>
      <w:r>
        <w:rPr>
          <w:rFonts w:hint="eastAsia"/>
          <w:color w:val="auto"/>
        </w:rPr>
        <w:t>。</w:t>
      </w:r>
    </w:p>
    <w:p w14:paraId="0A76774B">
      <w:pPr>
        <w:pStyle w:val="115"/>
        <w:spacing w:before="156" w:after="156"/>
        <w:ind w:left="0"/>
        <w:rPr>
          <w:color w:val="auto"/>
        </w:rPr>
      </w:pPr>
      <w:bookmarkStart w:id="73" w:name="_Toc15243"/>
      <w:r>
        <w:rPr>
          <w:rFonts w:hint="eastAsia"/>
          <w:color w:val="auto"/>
        </w:rPr>
        <w:t>内部制度</w:t>
      </w:r>
      <w:r>
        <w:rPr>
          <w:rFonts w:hint="eastAsia"/>
          <w:color w:val="auto"/>
          <w:lang w:val="en-US" w:eastAsia="zh-CN"/>
        </w:rPr>
        <w:t>建设</w:t>
      </w:r>
      <w:bookmarkEnd w:id="73"/>
    </w:p>
    <w:p w14:paraId="648AB53F">
      <w:pPr>
        <w:pStyle w:val="75"/>
        <w:spacing w:before="156" w:after="156"/>
        <w:ind w:left="0"/>
        <w:rPr>
          <w:rFonts w:hint="eastAsia"/>
          <w:color w:val="auto"/>
        </w:rPr>
      </w:pPr>
      <w:bookmarkStart w:id="74" w:name="_Toc19627"/>
      <w:bookmarkStart w:id="75" w:name="_Toc25022"/>
      <w:r>
        <w:rPr>
          <w:rFonts w:hint="eastAsia"/>
          <w:color w:val="auto"/>
          <w:lang w:val="en-US" w:eastAsia="zh-CN"/>
        </w:rPr>
        <w:t>制度建设</w:t>
      </w:r>
      <w:bookmarkEnd w:id="74"/>
      <w:bookmarkEnd w:id="75"/>
    </w:p>
    <w:p w14:paraId="795E900D">
      <w:pPr>
        <w:pStyle w:val="174"/>
        <w:ind w:left="0"/>
        <w:rPr>
          <w:color w:val="auto"/>
        </w:rPr>
      </w:pPr>
      <w:r>
        <w:rPr>
          <w:rFonts w:hint="eastAsia" w:ascii="宋体" w:hAnsi="Times New Roman" w:eastAsia="宋体" w:cs="Times New Roman"/>
          <w:color w:val="auto"/>
          <w:sz w:val="21"/>
          <w:lang w:val="en-US" w:eastAsia="zh-CN" w:bidi="ar-SA"/>
        </w:rPr>
        <w:t>体育社会团体应</w:t>
      </w:r>
      <w:r>
        <w:rPr>
          <w:rFonts w:ascii="宋体" w:hAnsi="Times New Roman" w:eastAsia="宋体" w:cs="Times New Roman"/>
          <w:color w:val="auto"/>
          <w:sz w:val="21"/>
          <w:lang w:val="en-US" w:eastAsia="zh-CN" w:bidi="ar-SA"/>
        </w:rPr>
        <w:t>按照章程规定建立系统的内部管理制度，包括但不限于</w:t>
      </w:r>
      <w:r>
        <w:rPr>
          <w:rFonts w:hint="eastAsia" w:ascii="宋体" w:hAnsi="Times New Roman" w:eastAsia="宋体" w:cs="Times New Roman"/>
          <w:color w:val="auto"/>
          <w:sz w:val="21"/>
          <w:lang w:val="en-US" w:eastAsia="zh-CN" w:bidi="ar-SA"/>
        </w:rPr>
        <w:t>：</w:t>
      </w:r>
    </w:p>
    <w:p w14:paraId="3F918145">
      <w:pPr>
        <w:pStyle w:val="184"/>
        <w:numPr>
          <w:ilvl w:val="0"/>
          <w:numId w:val="34"/>
        </w:numPr>
        <w:rPr>
          <w:color w:val="auto"/>
          <w:shd w:val="clear" w:color="auto" w:fill="FFFFFF"/>
        </w:rPr>
      </w:pPr>
      <w:r>
        <w:rPr>
          <w:color w:val="auto"/>
          <w:shd w:val="clear" w:color="auto" w:fill="FFFFFF"/>
        </w:rPr>
        <w:t>内部机构运行制度</w:t>
      </w:r>
      <w:r>
        <w:rPr>
          <w:rFonts w:hint="eastAsia"/>
          <w:color w:val="auto"/>
          <w:shd w:val="clear" w:color="auto" w:fill="FFFFFF"/>
        </w:rPr>
        <w:t>；</w:t>
      </w:r>
    </w:p>
    <w:p w14:paraId="0745AEFE">
      <w:pPr>
        <w:pStyle w:val="184"/>
        <w:numPr>
          <w:ilvl w:val="0"/>
          <w:numId w:val="34"/>
        </w:numPr>
        <w:rPr>
          <w:color w:val="auto"/>
          <w:shd w:val="clear" w:color="auto" w:fill="FFFFFF"/>
        </w:rPr>
      </w:pPr>
      <w:r>
        <w:rPr>
          <w:color w:val="auto"/>
          <w:shd w:val="clear" w:color="auto" w:fill="FFFFFF"/>
        </w:rPr>
        <w:t>行政管理制度</w:t>
      </w:r>
      <w:r>
        <w:rPr>
          <w:rFonts w:hint="eastAsia"/>
          <w:color w:val="auto"/>
          <w:shd w:val="clear" w:color="auto" w:fill="FFFFFF"/>
        </w:rPr>
        <w:t>；</w:t>
      </w:r>
    </w:p>
    <w:p w14:paraId="0458FD2C">
      <w:pPr>
        <w:pStyle w:val="184"/>
        <w:numPr>
          <w:ilvl w:val="0"/>
          <w:numId w:val="34"/>
        </w:numPr>
        <w:rPr>
          <w:color w:val="auto"/>
          <w:shd w:val="clear" w:color="auto" w:fill="FFFFFF"/>
        </w:rPr>
      </w:pPr>
      <w:r>
        <w:rPr>
          <w:color w:val="auto"/>
          <w:shd w:val="clear" w:color="auto" w:fill="FFFFFF"/>
        </w:rPr>
        <w:t>财务管理制度</w:t>
      </w:r>
      <w:r>
        <w:rPr>
          <w:rFonts w:hint="eastAsia"/>
          <w:color w:val="auto"/>
          <w:shd w:val="clear" w:color="auto" w:fill="FFFFFF"/>
        </w:rPr>
        <w:t>；</w:t>
      </w:r>
    </w:p>
    <w:p w14:paraId="5380FAD9">
      <w:pPr>
        <w:pStyle w:val="184"/>
        <w:numPr>
          <w:ilvl w:val="0"/>
          <w:numId w:val="34"/>
        </w:numPr>
        <w:rPr>
          <w:color w:val="auto"/>
          <w:shd w:val="clear" w:color="auto" w:fill="FFFFFF"/>
        </w:rPr>
      </w:pPr>
      <w:r>
        <w:rPr>
          <w:color w:val="auto"/>
          <w:shd w:val="clear" w:color="auto" w:fill="FFFFFF"/>
        </w:rPr>
        <w:t>项目管理制度</w:t>
      </w:r>
      <w:r>
        <w:rPr>
          <w:rFonts w:hint="eastAsia"/>
          <w:color w:val="auto"/>
          <w:shd w:val="clear" w:color="auto" w:fill="FFFFFF"/>
        </w:rPr>
        <w:t>；</w:t>
      </w:r>
    </w:p>
    <w:p w14:paraId="4ADF5788">
      <w:pPr>
        <w:pStyle w:val="184"/>
        <w:numPr>
          <w:ilvl w:val="0"/>
          <w:numId w:val="34"/>
        </w:numPr>
        <w:rPr>
          <w:color w:val="auto"/>
          <w:shd w:val="clear" w:color="auto" w:fill="FFFFFF"/>
        </w:rPr>
      </w:pPr>
      <w:r>
        <w:rPr>
          <w:color w:val="auto"/>
          <w:shd w:val="clear" w:color="auto" w:fill="FFFFFF"/>
        </w:rPr>
        <w:t>风险防控制度</w:t>
      </w:r>
      <w:r>
        <w:rPr>
          <w:rFonts w:hint="eastAsia"/>
          <w:color w:val="auto"/>
          <w:shd w:val="clear" w:color="auto" w:fill="FFFFFF"/>
        </w:rPr>
        <w:t>；</w:t>
      </w:r>
    </w:p>
    <w:p w14:paraId="04716E1F">
      <w:pPr>
        <w:pStyle w:val="184"/>
        <w:numPr>
          <w:ilvl w:val="0"/>
          <w:numId w:val="34"/>
        </w:numPr>
        <w:rPr>
          <w:color w:val="auto"/>
          <w:shd w:val="clear" w:color="auto" w:fill="FFFFFF"/>
        </w:rPr>
      </w:pPr>
      <w:r>
        <w:rPr>
          <w:color w:val="auto"/>
          <w:shd w:val="clear" w:color="auto" w:fill="FFFFFF"/>
        </w:rPr>
        <w:t>内部监督制度等</w:t>
      </w:r>
      <w:r>
        <w:rPr>
          <w:rFonts w:hint="eastAsia"/>
          <w:color w:val="auto"/>
          <w:shd w:val="clear" w:color="auto" w:fill="FFFFFF"/>
        </w:rPr>
        <w:t>。</w:t>
      </w:r>
    </w:p>
    <w:p w14:paraId="56780331">
      <w:pPr>
        <w:pStyle w:val="174"/>
        <w:ind w:left="0"/>
        <w:rPr>
          <w:color w:val="auto"/>
        </w:rPr>
      </w:pPr>
      <w:r>
        <w:rPr>
          <w:rFonts w:hint="eastAsia"/>
          <w:color w:val="auto"/>
          <w:shd w:val="clear" w:color="auto" w:fill="FFFFFF"/>
        </w:rPr>
        <w:t>体育</w:t>
      </w:r>
      <w:r>
        <w:rPr>
          <w:rFonts w:hint="eastAsia"/>
          <w:color w:val="auto"/>
        </w:rPr>
        <w:t>社会团体应</w:t>
      </w:r>
      <w:r>
        <w:rPr>
          <w:color w:val="auto"/>
        </w:rPr>
        <w:t>加强印章、证照和档案资料的管理，做到专人负责、登记内容详细、保管完整，审批职责明确，流程清晰</w:t>
      </w:r>
      <w:r>
        <w:rPr>
          <w:rFonts w:hint="eastAsia"/>
          <w:color w:val="auto"/>
        </w:rPr>
        <w:t>。</w:t>
      </w:r>
    </w:p>
    <w:p w14:paraId="27562AE2">
      <w:pPr>
        <w:pStyle w:val="174"/>
        <w:ind w:left="0"/>
        <w:rPr>
          <w:color w:val="auto"/>
          <w:shd w:val="clear" w:color="auto" w:fill="FFFFFF"/>
        </w:rPr>
      </w:pPr>
      <w:r>
        <w:rPr>
          <w:rFonts w:hint="eastAsia"/>
          <w:color w:val="auto"/>
          <w:shd w:val="clear" w:color="auto" w:fill="FFFFFF"/>
        </w:rPr>
        <w:t>体育社会</w:t>
      </w:r>
      <w:r>
        <w:rPr>
          <w:rFonts w:hint="eastAsia"/>
          <w:color w:val="auto"/>
        </w:rPr>
        <w:t>团体</w:t>
      </w:r>
      <w:r>
        <w:rPr>
          <w:rFonts w:hint="eastAsia"/>
          <w:color w:val="auto"/>
          <w:shd w:val="clear" w:color="auto" w:fill="FFFFFF"/>
        </w:rPr>
        <w:t>应按章程要求报送年度工作报告，内容包括但不限于：</w:t>
      </w:r>
    </w:p>
    <w:p w14:paraId="19E6C8A1">
      <w:pPr>
        <w:pStyle w:val="184"/>
        <w:numPr>
          <w:ilvl w:val="0"/>
          <w:numId w:val="35"/>
        </w:numPr>
        <w:rPr>
          <w:color w:val="auto"/>
          <w:shd w:val="clear" w:color="auto" w:fill="FFFFFF"/>
        </w:rPr>
      </w:pPr>
      <w:r>
        <w:rPr>
          <w:rFonts w:hint="eastAsia"/>
          <w:color w:val="auto"/>
          <w:shd w:val="clear" w:color="auto" w:fill="FFFFFF"/>
        </w:rPr>
        <w:t>遵守法律法规和有关政策的情况；</w:t>
      </w:r>
    </w:p>
    <w:p w14:paraId="714B266E">
      <w:pPr>
        <w:pStyle w:val="184"/>
        <w:numPr>
          <w:ilvl w:val="0"/>
          <w:numId w:val="35"/>
        </w:numPr>
        <w:rPr>
          <w:color w:val="auto"/>
          <w:shd w:val="clear" w:color="auto" w:fill="FFFFFF"/>
        </w:rPr>
      </w:pPr>
      <w:r>
        <w:rPr>
          <w:rFonts w:hint="eastAsia"/>
          <w:color w:val="auto"/>
          <w:shd w:val="clear" w:color="auto" w:fill="FFFFFF"/>
        </w:rPr>
        <w:t>登记事项变动及履行登记手续情况；</w:t>
      </w:r>
    </w:p>
    <w:p w14:paraId="216212F6">
      <w:pPr>
        <w:pStyle w:val="184"/>
        <w:rPr>
          <w:color w:val="auto"/>
          <w:shd w:val="clear" w:color="auto" w:fill="FFFFFF"/>
        </w:rPr>
      </w:pPr>
      <w:r>
        <w:rPr>
          <w:rFonts w:hint="eastAsia"/>
          <w:color w:val="auto"/>
          <w:shd w:val="clear" w:color="auto" w:fill="FFFFFF"/>
        </w:rPr>
        <w:t>按照章程开展活动情况；</w:t>
      </w:r>
    </w:p>
    <w:p w14:paraId="37874968">
      <w:pPr>
        <w:pStyle w:val="184"/>
        <w:rPr>
          <w:color w:val="auto"/>
          <w:shd w:val="clear" w:color="auto" w:fill="FFFFFF"/>
        </w:rPr>
      </w:pPr>
      <w:r>
        <w:rPr>
          <w:rFonts w:hint="eastAsia"/>
          <w:color w:val="auto"/>
          <w:shd w:val="clear" w:color="auto" w:fill="FFFFFF"/>
        </w:rPr>
        <w:t>财务状况、资金来源和使用情况，开展募捐、接受捐赠、提供资助等活动的情况；</w:t>
      </w:r>
    </w:p>
    <w:p w14:paraId="63EF2EAD">
      <w:pPr>
        <w:pStyle w:val="184"/>
        <w:rPr>
          <w:color w:val="auto"/>
          <w:shd w:val="clear" w:color="auto" w:fill="FFFFFF"/>
        </w:rPr>
      </w:pPr>
      <w:r>
        <w:rPr>
          <w:rFonts w:hint="eastAsia"/>
          <w:color w:val="auto"/>
          <w:shd w:val="clear" w:color="auto" w:fill="FFFFFF"/>
        </w:rPr>
        <w:t>机构变动和人员聘用情况；</w:t>
      </w:r>
    </w:p>
    <w:p w14:paraId="1A76F296">
      <w:pPr>
        <w:pStyle w:val="184"/>
        <w:rPr>
          <w:color w:val="auto"/>
          <w:shd w:val="clear" w:color="auto" w:fill="FFFFFF"/>
        </w:rPr>
      </w:pPr>
      <w:r>
        <w:rPr>
          <w:rFonts w:hint="eastAsia"/>
          <w:color w:val="auto"/>
          <w:shd w:val="clear" w:color="auto" w:fill="FFFFFF"/>
        </w:rPr>
        <w:t>财务会计报告情况；</w:t>
      </w:r>
    </w:p>
    <w:p w14:paraId="1F46A9D2">
      <w:pPr>
        <w:pStyle w:val="184"/>
        <w:rPr>
          <w:color w:val="auto"/>
          <w:shd w:val="clear" w:color="auto" w:fill="FFFFFF"/>
        </w:rPr>
      </w:pPr>
      <w:r>
        <w:rPr>
          <w:rFonts w:hint="eastAsia"/>
          <w:color w:val="auto"/>
          <w:shd w:val="clear" w:color="auto" w:fill="FFFFFF"/>
        </w:rPr>
        <w:t>其他报告情况。</w:t>
      </w:r>
    </w:p>
    <w:p w14:paraId="7505228D">
      <w:pPr>
        <w:pStyle w:val="174"/>
        <w:ind w:left="0"/>
        <w:rPr>
          <w:color w:val="auto"/>
          <w:shd w:val="clear" w:color="auto" w:fill="FFFFFF"/>
        </w:rPr>
      </w:pPr>
      <w:r>
        <w:rPr>
          <w:rFonts w:hint="eastAsia"/>
          <w:color w:val="auto"/>
          <w:shd w:val="clear" w:color="auto" w:fill="FFFFFF"/>
        </w:rPr>
        <w:t>体育社会</w:t>
      </w:r>
      <w:r>
        <w:rPr>
          <w:rFonts w:hint="eastAsia"/>
          <w:color w:val="auto"/>
        </w:rPr>
        <w:t>团体</w:t>
      </w:r>
      <w:r>
        <w:rPr>
          <w:rFonts w:hint="eastAsia"/>
          <w:color w:val="auto"/>
          <w:shd w:val="clear" w:color="auto" w:fill="FFFFFF"/>
        </w:rPr>
        <w:t>社会信用信息的管理要求见《社会组织信用信息管理办法》。</w:t>
      </w:r>
    </w:p>
    <w:p w14:paraId="6C978F62">
      <w:pPr>
        <w:pStyle w:val="174"/>
        <w:ind w:left="0"/>
        <w:rPr>
          <w:color w:val="auto"/>
          <w:shd w:val="clear" w:color="auto" w:fill="FFFFFF"/>
        </w:rPr>
      </w:pPr>
      <w:r>
        <w:rPr>
          <w:rFonts w:hint="eastAsia"/>
          <w:color w:val="auto"/>
          <w:shd w:val="clear" w:color="auto" w:fill="FFFFFF"/>
        </w:rPr>
        <w:t>体育社会</w:t>
      </w:r>
      <w:r>
        <w:rPr>
          <w:rFonts w:hint="eastAsia"/>
          <w:color w:val="auto"/>
        </w:rPr>
        <w:t>团体</w:t>
      </w:r>
      <w:r>
        <w:rPr>
          <w:rFonts w:hint="eastAsia"/>
          <w:color w:val="auto"/>
          <w:shd w:val="clear" w:color="auto" w:fill="FFFFFF"/>
        </w:rPr>
        <w:t>应建立信息公开制度：</w:t>
      </w:r>
    </w:p>
    <w:p w14:paraId="4C3040D9">
      <w:pPr>
        <w:pStyle w:val="184"/>
        <w:numPr>
          <w:ilvl w:val="0"/>
          <w:numId w:val="36"/>
        </w:numPr>
        <w:rPr>
          <w:color w:val="auto"/>
        </w:rPr>
      </w:pPr>
      <w:r>
        <w:rPr>
          <w:rFonts w:hint="eastAsia"/>
          <w:color w:val="auto"/>
        </w:rPr>
        <w:t>向会员公开以下内容：</w:t>
      </w:r>
    </w:p>
    <w:p w14:paraId="4E184F3B">
      <w:pPr>
        <w:pStyle w:val="119"/>
        <w:numPr>
          <w:ilvl w:val="1"/>
          <w:numId w:val="37"/>
        </w:numPr>
        <w:rPr>
          <w:color w:val="auto"/>
        </w:rPr>
      </w:pPr>
      <w:r>
        <w:rPr>
          <w:rFonts w:hint="eastAsia"/>
          <w:color w:val="auto"/>
        </w:rPr>
        <w:t>年度工作报告；</w:t>
      </w:r>
    </w:p>
    <w:p w14:paraId="2CD0048A">
      <w:pPr>
        <w:pStyle w:val="119"/>
        <w:numPr>
          <w:ilvl w:val="1"/>
          <w:numId w:val="37"/>
        </w:numPr>
        <w:rPr>
          <w:color w:val="auto"/>
        </w:rPr>
      </w:pPr>
      <w:r>
        <w:rPr>
          <w:rFonts w:hint="eastAsia"/>
          <w:color w:val="auto"/>
        </w:rPr>
        <w:t>第三方机构出具的报告；</w:t>
      </w:r>
    </w:p>
    <w:p w14:paraId="3160F934">
      <w:pPr>
        <w:pStyle w:val="119"/>
        <w:numPr>
          <w:ilvl w:val="1"/>
          <w:numId w:val="37"/>
        </w:numPr>
        <w:rPr>
          <w:color w:val="auto"/>
        </w:rPr>
      </w:pPr>
      <w:r>
        <w:rPr>
          <w:rFonts w:hint="eastAsia"/>
          <w:color w:val="auto"/>
        </w:rPr>
        <w:t>会费收支情况；</w:t>
      </w:r>
    </w:p>
    <w:p w14:paraId="2BB46D29">
      <w:pPr>
        <w:pStyle w:val="119"/>
        <w:numPr>
          <w:ilvl w:val="1"/>
          <w:numId w:val="37"/>
        </w:numPr>
        <w:rPr>
          <w:color w:val="auto"/>
        </w:rPr>
      </w:pPr>
      <w:r>
        <w:rPr>
          <w:rFonts w:hint="eastAsia"/>
          <w:color w:val="auto"/>
        </w:rPr>
        <w:t>经理事会研究认为有必要公开的其他信息。</w:t>
      </w:r>
    </w:p>
    <w:p w14:paraId="347B25A4">
      <w:pPr>
        <w:pStyle w:val="184"/>
        <w:numPr>
          <w:ilvl w:val="0"/>
          <w:numId w:val="36"/>
        </w:numPr>
        <w:rPr>
          <w:color w:val="auto"/>
        </w:rPr>
      </w:pPr>
      <w:r>
        <w:rPr>
          <w:rFonts w:hint="eastAsia"/>
          <w:color w:val="auto"/>
        </w:rPr>
        <w:t>应向社会公开以下内容：</w:t>
      </w:r>
    </w:p>
    <w:p w14:paraId="7E612320">
      <w:pPr>
        <w:pStyle w:val="119"/>
        <w:numPr>
          <w:ilvl w:val="1"/>
          <w:numId w:val="37"/>
        </w:numPr>
        <w:rPr>
          <w:color w:val="auto"/>
        </w:rPr>
      </w:pPr>
      <w:r>
        <w:rPr>
          <w:rFonts w:hint="eastAsia"/>
          <w:color w:val="auto"/>
        </w:rPr>
        <w:t>登记事项、章程、组织机构等信息；</w:t>
      </w:r>
    </w:p>
    <w:p w14:paraId="4C781BF8">
      <w:pPr>
        <w:pStyle w:val="119"/>
        <w:numPr>
          <w:ilvl w:val="1"/>
          <w:numId w:val="37"/>
        </w:numPr>
        <w:rPr>
          <w:color w:val="auto"/>
        </w:rPr>
      </w:pPr>
      <w:r>
        <w:rPr>
          <w:rFonts w:hint="eastAsia"/>
          <w:color w:val="auto"/>
        </w:rPr>
        <w:t>接受捐赠信息；</w:t>
      </w:r>
    </w:p>
    <w:p w14:paraId="1F7CED7B">
      <w:pPr>
        <w:pStyle w:val="119"/>
        <w:numPr>
          <w:ilvl w:val="1"/>
          <w:numId w:val="37"/>
        </w:numPr>
        <w:rPr>
          <w:color w:val="auto"/>
        </w:rPr>
      </w:pPr>
      <w:r>
        <w:rPr>
          <w:rFonts w:hint="eastAsia"/>
          <w:color w:val="auto"/>
        </w:rPr>
        <w:t>信用承诺；</w:t>
      </w:r>
    </w:p>
    <w:p w14:paraId="41734085">
      <w:pPr>
        <w:pStyle w:val="119"/>
        <w:numPr>
          <w:ilvl w:val="1"/>
          <w:numId w:val="37"/>
        </w:numPr>
        <w:rPr>
          <w:color w:val="auto"/>
        </w:rPr>
      </w:pPr>
      <w:r>
        <w:rPr>
          <w:rFonts w:hint="eastAsia"/>
          <w:color w:val="auto"/>
        </w:rPr>
        <w:t>政府转移或委托事项；</w:t>
      </w:r>
    </w:p>
    <w:p w14:paraId="48E2480D">
      <w:pPr>
        <w:pStyle w:val="119"/>
        <w:numPr>
          <w:ilvl w:val="1"/>
          <w:numId w:val="37"/>
        </w:numPr>
        <w:rPr>
          <w:color w:val="auto"/>
        </w:rPr>
      </w:pPr>
      <w:r>
        <w:rPr>
          <w:rFonts w:hint="eastAsia"/>
          <w:color w:val="auto"/>
        </w:rPr>
        <w:t>可提供服务事项及运行情况等信息。</w:t>
      </w:r>
    </w:p>
    <w:p w14:paraId="6EB5AAD6">
      <w:pPr>
        <w:pStyle w:val="75"/>
        <w:spacing w:before="156" w:after="156"/>
        <w:ind w:left="0"/>
        <w:rPr>
          <w:rFonts w:hint="eastAsia"/>
          <w:color w:val="auto"/>
        </w:rPr>
      </w:pPr>
      <w:bookmarkStart w:id="76" w:name="_Toc15441"/>
      <w:bookmarkStart w:id="77" w:name="_Toc25469"/>
      <w:r>
        <w:rPr>
          <w:rFonts w:hint="eastAsia"/>
          <w:color w:val="auto"/>
        </w:rPr>
        <w:t>章程</w:t>
      </w:r>
      <w:bookmarkEnd w:id="76"/>
      <w:bookmarkEnd w:id="77"/>
      <w:r>
        <w:rPr>
          <w:rFonts w:hint="eastAsia"/>
          <w:color w:val="auto"/>
        </w:rPr>
        <w:t xml:space="preserve">  </w:t>
      </w:r>
    </w:p>
    <w:p w14:paraId="7A902F66">
      <w:pPr>
        <w:pStyle w:val="174"/>
        <w:ind w:left="0"/>
        <w:rPr>
          <w:color w:val="auto"/>
        </w:rPr>
      </w:pPr>
      <w:r>
        <w:rPr>
          <w:rFonts w:hint="eastAsia"/>
          <w:color w:val="auto"/>
        </w:rPr>
        <w:t>体育社会团体章程的制定或修改，应经过会员大会（会员代表大会）表决通过，并经登记管理机关核准。</w:t>
      </w:r>
    </w:p>
    <w:p w14:paraId="2AE51E6A">
      <w:pPr>
        <w:pStyle w:val="174"/>
        <w:ind w:left="0"/>
        <w:rPr>
          <w:color w:val="auto"/>
        </w:rPr>
      </w:pPr>
      <w:r>
        <w:rPr>
          <w:rFonts w:hint="eastAsia"/>
          <w:color w:val="auto"/>
        </w:rPr>
        <w:t>体育社会团体章程的文本内容要求见《广东省社会团体章程示范文本》。</w:t>
      </w:r>
    </w:p>
    <w:p w14:paraId="17FE4770">
      <w:pPr>
        <w:pStyle w:val="174"/>
        <w:ind w:left="0"/>
        <w:rPr>
          <w:color w:val="auto"/>
        </w:rPr>
      </w:pPr>
      <w:r>
        <w:rPr>
          <w:rFonts w:hint="eastAsia"/>
          <w:color w:val="auto"/>
        </w:rPr>
        <w:t>章程中涉及体育仲裁部分的内容应符合以下要求：</w:t>
      </w:r>
    </w:p>
    <w:p w14:paraId="7E193BB9">
      <w:pPr>
        <w:pStyle w:val="184"/>
        <w:numPr>
          <w:ilvl w:val="0"/>
          <w:numId w:val="38"/>
        </w:numPr>
        <w:rPr>
          <w:color w:val="auto"/>
          <w:shd w:val="clear" w:color="auto" w:fill="FFFFFF"/>
        </w:rPr>
      </w:pPr>
      <w:r>
        <w:rPr>
          <w:rFonts w:hint="eastAsia"/>
          <w:color w:val="auto"/>
          <w:shd w:val="clear" w:color="auto" w:fill="FFFFFF"/>
        </w:rPr>
        <w:t xml:space="preserve">设有内部纠纷解决机制的协会，体育仲裁条款可表述为，“本会建立内部纠纷解决机制，依法依规妥善解决纠纷。本会具有管辖权的纠纷解决适用本会纠纷解决机制规则。属于体育仲裁管辖范围的纠纷，应当首先提交本会纠纷解决部门处理，当事人对本会纠纷解决部门未及时处理的纠纷或者对作出处理结果不服的，可以依法申请体育仲裁。” </w:t>
      </w:r>
    </w:p>
    <w:p w14:paraId="72A36EC2">
      <w:pPr>
        <w:pStyle w:val="184"/>
        <w:numPr>
          <w:ilvl w:val="0"/>
          <w:numId w:val="38"/>
        </w:numPr>
        <w:rPr>
          <w:color w:val="auto"/>
          <w:shd w:val="clear" w:color="auto" w:fill="FFFFFF"/>
        </w:rPr>
      </w:pPr>
      <w:r>
        <w:rPr>
          <w:rFonts w:hint="eastAsia"/>
          <w:color w:val="auto"/>
          <w:shd w:val="clear" w:color="auto" w:fill="FFFFFF"/>
        </w:rPr>
        <w:t>尚未设有内部纠纷解决机制的协会，体育仲裁条款可表述为，“本会章程范畴内的相关纠纷，</w:t>
      </w:r>
      <w:r>
        <w:rPr>
          <w:rFonts w:hint="eastAsia" w:ascii="FZShuSong-Z01" w:hAnsi="FZShuSong-Z01" w:eastAsia="FZShuSong-Z01" w:cs="FZShuSong-Z01"/>
          <w:color w:val="auto"/>
          <w:sz w:val="20"/>
          <w:lang w:bidi="ar"/>
        </w:rPr>
        <w:t>属于体育仲裁受案范围的，</w:t>
      </w:r>
      <w:r>
        <w:rPr>
          <w:rFonts w:hint="eastAsia"/>
          <w:color w:val="auto"/>
          <w:shd w:val="clear" w:color="auto" w:fill="FFFFFF"/>
        </w:rPr>
        <w:t xml:space="preserve">依法提交中国体育仲裁委员会仲裁。” </w:t>
      </w:r>
    </w:p>
    <w:p w14:paraId="4F70EF82">
      <w:pPr>
        <w:pStyle w:val="184"/>
        <w:numPr>
          <w:ilvl w:val="0"/>
          <w:numId w:val="38"/>
        </w:numPr>
        <w:rPr>
          <w:color w:val="auto"/>
          <w:shd w:val="clear" w:color="auto" w:fill="FFFFFF"/>
        </w:rPr>
      </w:pPr>
      <w:r>
        <w:rPr>
          <w:rFonts w:hint="eastAsia"/>
          <w:color w:val="auto"/>
          <w:shd w:val="clear" w:color="auto" w:fill="FFFFFF"/>
        </w:rPr>
        <w:t>如章程暂时无法修订，可以在依据章程制定的相关管理规则中增加体育仲裁条款，表述为，“本会管辖范围内发生的相关纠纷，</w:t>
      </w:r>
      <w:r>
        <w:rPr>
          <w:rFonts w:hint="eastAsia" w:ascii="FZShuSong-Z01" w:hAnsi="FZShuSong-Z01" w:eastAsia="FZShuSong-Z01" w:cs="FZShuSong-Z01"/>
          <w:color w:val="auto"/>
          <w:sz w:val="20"/>
          <w:lang w:bidi="ar"/>
        </w:rPr>
        <w:t>属于体育仲裁受案范围的，</w:t>
      </w:r>
      <w:r>
        <w:rPr>
          <w:rFonts w:hint="eastAsia"/>
          <w:color w:val="auto"/>
          <w:shd w:val="clear" w:color="auto" w:fill="FFFFFF"/>
        </w:rPr>
        <w:t xml:space="preserve">可以依法向中国体育仲裁委员会申请仲裁。” </w:t>
      </w:r>
    </w:p>
    <w:p w14:paraId="7593AD9D">
      <w:pPr>
        <w:pStyle w:val="184"/>
        <w:numPr>
          <w:ilvl w:val="0"/>
          <w:numId w:val="38"/>
        </w:numPr>
        <w:rPr>
          <w:rFonts w:ascii="FZShuSong-Z01" w:hAnsi="FZShuSong-Z01" w:eastAsia="FZShuSong-Z01" w:cs="FZShuSong-Z01"/>
          <w:color w:val="auto"/>
          <w:sz w:val="20"/>
          <w:lang w:bidi="ar"/>
        </w:rPr>
      </w:pPr>
      <w:r>
        <w:rPr>
          <w:rFonts w:hint="eastAsia" w:ascii="FZShuSong-Z01" w:hAnsi="FZShuSong-Z01" w:eastAsia="FZShuSong-Z01" w:cs="FZShuSong-Z01"/>
          <w:color w:val="auto"/>
          <w:sz w:val="20"/>
          <w:lang w:bidi="ar"/>
        </w:rPr>
        <w:t>《中华人民共和国仲裁法》规定的可仲裁纠纷和《中华人民共和国劳动争议调解仲裁法》规定的劳动争议，不属于体育仲裁范围。</w:t>
      </w:r>
    </w:p>
    <w:p w14:paraId="43B7764C">
      <w:pPr>
        <w:pStyle w:val="115"/>
        <w:spacing w:before="156" w:after="156"/>
        <w:ind w:left="0"/>
        <w:rPr>
          <w:rFonts w:hint="eastAsia" w:ascii="宋体" w:hAnsi="Times New Roman" w:eastAsia="宋体" w:cs="Times New Roman"/>
          <w:color w:val="auto"/>
          <w:sz w:val="21"/>
          <w:lang w:val="en-US" w:eastAsia="zh-CN" w:bidi="ar-SA"/>
        </w:rPr>
      </w:pPr>
      <w:bookmarkStart w:id="78" w:name="_Toc4140"/>
      <w:r>
        <w:rPr>
          <w:rFonts w:hint="eastAsia"/>
          <w:color w:val="auto"/>
          <w:lang w:val="en-US" w:eastAsia="zh-CN"/>
        </w:rPr>
        <w:t>诚信建设</w:t>
      </w:r>
      <w:bookmarkEnd w:id="78"/>
    </w:p>
    <w:p w14:paraId="00B61109">
      <w:pPr>
        <w:pStyle w:val="175"/>
        <w:ind w:left="0"/>
        <w:rPr>
          <w:rFonts w:hint="eastAsia"/>
          <w:color w:val="auto"/>
          <w:shd w:val="clear" w:color="auto" w:fill="FFFFFF"/>
        </w:rPr>
      </w:pPr>
      <w:r>
        <w:rPr>
          <w:rFonts w:hint="eastAsia"/>
          <w:color w:val="auto"/>
          <w:shd w:val="clear" w:color="auto" w:fill="FFFFFF"/>
          <w:lang w:val="en-US" w:eastAsia="zh-CN"/>
        </w:rPr>
        <w:t>根据行业发展要求，遵循公平公正、诚实信用和正当竞争的原则，</w:t>
      </w:r>
      <w:r>
        <w:rPr>
          <w:rFonts w:hint="default"/>
          <w:color w:val="auto"/>
          <w:shd w:val="clear" w:color="auto" w:fill="FFFFFF"/>
          <w:lang w:val="en-US" w:eastAsia="zh-CN"/>
        </w:rPr>
        <w:t>制定并通过详细、规范的行业自律公约和行业职业道德准则，规范会员企业生产和经营行为，引导本行业的经营者依法竞争，自觉维护市场竞争秩序</w:t>
      </w:r>
      <w:r>
        <w:rPr>
          <w:rFonts w:hint="eastAsia"/>
          <w:color w:val="auto"/>
          <w:shd w:val="clear" w:color="auto" w:fill="FFFFFF"/>
          <w:lang w:val="en-US" w:eastAsia="zh-CN"/>
        </w:rPr>
        <w:t>。</w:t>
      </w:r>
      <w:r>
        <w:rPr>
          <w:rFonts w:hint="default"/>
          <w:color w:val="auto"/>
          <w:shd w:val="clear" w:color="auto" w:fill="FFFFFF"/>
          <w:lang w:val="en-US" w:eastAsia="zh-CN"/>
        </w:rPr>
        <w:t xml:space="preserve"> </w:t>
      </w:r>
    </w:p>
    <w:p w14:paraId="7B05D2EB">
      <w:pPr>
        <w:pStyle w:val="175"/>
        <w:ind w:left="0"/>
        <w:rPr>
          <w:rFonts w:hint="eastAsia"/>
          <w:color w:val="auto"/>
          <w:shd w:val="clear" w:color="auto" w:fill="FFFFFF"/>
        </w:rPr>
      </w:pPr>
      <w:r>
        <w:rPr>
          <w:rFonts w:hint="default"/>
          <w:color w:val="auto"/>
          <w:shd w:val="clear" w:color="auto" w:fill="FFFFFF"/>
          <w:lang w:val="en-US" w:eastAsia="zh-CN"/>
        </w:rPr>
        <w:t>积极推动自律公约和行业职业道德准则在全行业的实施，对违反行业自律公约的会员采取不限于警告、行业内通报批评、公开谴责、取消会员资格、向有关部门通报等惩戒措施</w:t>
      </w:r>
      <w:r>
        <w:rPr>
          <w:rFonts w:hint="eastAsia"/>
          <w:color w:val="auto"/>
          <w:shd w:val="clear" w:color="auto" w:fill="FFFFFF"/>
          <w:lang w:val="en-US" w:eastAsia="zh-CN"/>
        </w:rPr>
        <w:t>。</w:t>
      </w:r>
      <w:r>
        <w:rPr>
          <w:rFonts w:hint="default"/>
          <w:color w:val="auto"/>
          <w:shd w:val="clear" w:color="auto" w:fill="FFFFFF"/>
          <w:lang w:val="en-US" w:eastAsia="zh-CN"/>
        </w:rPr>
        <w:t xml:space="preserve"> </w:t>
      </w:r>
    </w:p>
    <w:p w14:paraId="3A5EF1B4">
      <w:pPr>
        <w:pStyle w:val="175"/>
        <w:ind w:left="0"/>
        <w:rPr>
          <w:rFonts w:hint="eastAsia"/>
          <w:color w:val="auto"/>
          <w:shd w:val="clear" w:color="auto" w:fill="FFFFFF"/>
        </w:rPr>
      </w:pPr>
      <w:r>
        <w:rPr>
          <w:rFonts w:hint="default"/>
          <w:color w:val="auto"/>
          <w:shd w:val="clear" w:color="auto" w:fill="FFFFFF"/>
          <w:lang w:val="en-US" w:eastAsia="zh-CN"/>
        </w:rPr>
        <w:t>鼓励</w:t>
      </w:r>
      <w:r>
        <w:rPr>
          <w:rFonts w:hint="eastAsia"/>
          <w:color w:val="auto"/>
          <w:shd w:val="clear" w:color="auto" w:fill="FFFFFF"/>
          <w:lang w:val="en-US" w:eastAsia="zh-CN"/>
        </w:rPr>
        <w:t>体育社会团体</w:t>
      </w:r>
      <w:r>
        <w:rPr>
          <w:rFonts w:hint="default"/>
          <w:color w:val="auto"/>
          <w:shd w:val="clear" w:color="auto" w:fill="FFFFFF"/>
          <w:lang w:val="en-US" w:eastAsia="zh-CN"/>
        </w:rPr>
        <w:t>积极参与社会治理，推动建立健全行业内纠纷调处机制，充分发挥</w:t>
      </w:r>
      <w:r>
        <w:rPr>
          <w:rFonts w:hint="eastAsia"/>
          <w:color w:val="auto"/>
          <w:shd w:val="clear" w:color="auto" w:fill="FFFFFF"/>
          <w:lang w:val="en-US" w:eastAsia="zh-CN"/>
        </w:rPr>
        <w:t>体育社会团体</w:t>
      </w:r>
      <w:r>
        <w:rPr>
          <w:rFonts w:hint="default"/>
          <w:color w:val="auto"/>
          <w:shd w:val="clear" w:color="auto" w:fill="FFFFFF"/>
          <w:lang w:val="en-US" w:eastAsia="zh-CN"/>
        </w:rPr>
        <w:t>优势，有效化解会员企业之间矛盾纠纷，促进和引导会员企业依法经营、依法治企、依法维权</w:t>
      </w:r>
      <w:r>
        <w:rPr>
          <w:rFonts w:hint="eastAsia"/>
          <w:color w:val="auto"/>
          <w:shd w:val="clear" w:color="auto" w:fill="FFFFFF"/>
          <w:lang w:val="en-US" w:eastAsia="zh-CN"/>
        </w:rPr>
        <w:t>。</w:t>
      </w:r>
    </w:p>
    <w:p w14:paraId="433245AB">
      <w:pPr>
        <w:pStyle w:val="175"/>
        <w:ind w:left="0"/>
        <w:rPr>
          <w:rFonts w:hint="eastAsia"/>
          <w:color w:val="auto"/>
          <w:shd w:val="clear" w:color="auto" w:fill="FFFFFF"/>
        </w:rPr>
      </w:pPr>
      <w:r>
        <w:rPr>
          <w:rFonts w:hint="eastAsia"/>
          <w:color w:val="auto"/>
          <w:shd w:val="clear" w:color="auto" w:fill="FFFFFF"/>
          <w:lang w:val="en-US" w:eastAsia="zh-CN"/>
        </w:rPr>
        <w:t>根据自身实际情况，研究制定会员企业信用信息收集标准，建立行</w:t>
      </w:r>
      <w:r>
        <w:rPr>
          <w:rFonts w:hint="default"/>
          <w:color w:val="auto"/>
          <w:shd w:val="clear" w:color="auto" w:fill="FFFFFF"/>
          <w:lang w:val="en-US" w:eastAsia="zh-CN"/>
        </w:rPr>
        <w:t>业内部信用信息收集渠道，建立健全会员企业信用档案，依法收集相关信用信息</w:t>
      </w:r>
      <w:r>
        <w:rPr>
          <w:rFonts w:hint="eastAsia"/>
          <w:color w:val="auto"/>
          <w:shd w:val="clear" w:color="auto" w:fill="FFFFFF"/>
          <w:lang w:val="en-US" w:eastAsia="zh-CN"/>
        </w:rPr>
        <w:t>。</w:t>
      </w:r>
      <w:r>
        <w:rPr>
          <w:rFonts w:hint="default"/>
          <w:color w:val="auto"/>
          <w:shd w:val="clear" w:color="auto" w:fill="FFFFFF"/>
          <w:lang w:val="en-US" w:eastAsia="zh-CN"/>
        </w:rPr>
        <w:t xml:space="preserve"> </w:t>
      </w:r>
    </w:p>
    <w:p w14:paraId="316DA926">
      <w:pPr>
        <w:pStyle w:val="175"/>
        <w:ind w:left="0"/>
        <w:rPr>
          <w:rFonts w:hint="eastAsia"/>
          <w:color w:val="auto"/>
          <w:shd w:val="clear" w:color="auto" w:fill="FFFFFF"/>
        </w:rPr>
      </w:pPr>
      <w:r>
        <w:rPr>
          <w:rFonts w:hint="default"/>
          <w:color w:val="auto"/>
          <w:shd w:val="clear" w:color="auto" w:fill="FFFFFF"/>
          <w:lang w:val="en-US" w:eastAsia="zh-CN"/>
        </w:rPr>
        <w:t>制定信用评价工作制度，根据自身特点，遵循会员企业自愿参加的原则，积极开展会员企业信用评价，可以委托有资质的第三方机构依法开展行业信用评价工作，提高信用评价工作在全行业的覆盖率，切实提升评价效果</w:t>
      </w:r>
      <w:r>
        <w:rPr>
          <w:rFonts w:hint="eastAsia"/>
          <w:color w:val="auto"/>
          <w:shd w:val="clear" w:color="auto" w:fill="FFFFFF"/>
          <w:lang w:val="en-US" w:eastAsia="zh-CN"/>
        </w:rPr>
        <w:t>。</w:t>
      </w:r>
      <w:r>
        <w:rPr>
          <w:rFonts w:hint="default"/>
          <w:color w:val="auto"/>
          <w:shd w:val="clear" w:color="auto" w:fill="FFFFFF"/>
          <w:lang w:val="en-US" w:eastAsia="zh-CN"/>
        </w:rPr>
        <w:t xml:space="preserve"> </w:t>
      </w:r>
    </w:p>
    <w:p w14:paraId="11E2C316">
      <w:pPr>
        <w:pStyle w:val="175"/>
        <w:ind w:left="0"/>
        <w:rPr>
          <w:rFonts w:hint="eastAsia"/>
          <w:color w:val="auto"/>
          <w:shd w:val="clear" w:color="auto" w:fill="FFFFFF"/>
        </w:rPr>
      </w:pPr>
      <w:r>
        <w:rPr>
          <w:rFonts w:hint="default"/>
          <w:color w:val="auto"/>
          <w:shd w:val="clear" w:color="auto" w:fill="FFFFFF"/>
          <w:lang w:val="en-US" w:eastAsia="zh-CN"/>
        </w:rPr>
        <w:t>优化评价指标体系，完善评价操作流程，提升行业信用评价效率，评价方法、标准、结果等应当公开发布并提供查询服务。同时，依托新闻媒体、网站等，积极宣传推广信用评价结果，提高诚信会员企业在政府、市场与社会中的认可度和知名度</w:t>
      </w:r>
      <w:r>
        <w:rPr>
          <w:rFonts w:hint="eastAsia"/>
          <w:color w:val="auto"/>
          <w:shd w:val="clear" w:color="auto" w:fill="FFFFFF"/>
          <w:lang w:val="en-US" w:eastAsia="zh-CN"/>
        </w:rPr>
        <w:t>。</w:t>
      </w:r>
    </w:p>
    <w:p w14:paraId="297501A7">
      <w:pPr>
        <w:pStyle w:val="114"/>
        <w:spacing w:before="312" w:after="312"/>
        <w:rPr>
          <w:color w:val="auto"/>
        </w:rPr>
      </w:pPr>
      <w:bookmarkStart w:id="79" w:name="_Toc2441"/>
      <w:bookmarkStart w:id="80" w:name="_Toc1933"/>
      <w:r>
        <w:rPr>
          <w:rFonts w:hint="eastAsia"/>
          <w:color w:val="auto"/>
        </w:rPr>
        <w:t>管理要求</w:t>
      </w:r>
      <w:bookmarkEnd w:id="79"/>
      <w:bookmarkEnd w:id="80"/>
    </w:p>
    <w:p w14:paraId="2DB7006C">
      <w:pPr>
        <w:pStyle w:val="115"/>
        <w:spacing w:before="156" w:after="156"/>
        <w:ind w:left="0"/>
        <w:rPr>
          <w:color w:val="auto"/>
        </w:rPr>
      </w:pPr>
      <w:bookmarkStart w:id="81" w:name="_Toc12175"/>
      <w:bookmarkStart w:id="82" w:name="_Toc16407"/>
      <w:r>
        <w:rPr>
          <w:rFonts w:hint="eastAsia"/>
          <w:color w:val="auto"/>
          <w:lang w:val="en-US" w:eastAsia="zh-CN"/>
        </w:rPr>
        <w:t>战略管理</w:t>
      </w:r>
      <w:bookmarkEnd w:id="81"/>
    </w:p>
    <w:p w14:paraId="04E24A1D">
      <w:pPr>
        <w:pStyle w:val="75"/>
        <w:spacing w:before="156" w:after="156"/>
        <w:ind w:left="0"/>
        <w:rPr>
          <w:color w:val="auto"/>
        </w:rPr>
      </w:pPr>
      <w:bookmarkStart w:id="83" w:name="_Toc14798"/>
      <w:r>
        <w:rPr>
          <w:rFonts w:hint="eastAsia"/>
          <w:color w:val="auto"/>
          <w:lang w:val="en-US" w:eastAsia="zh-CN"/>
        </w:rPr>
        <w:t>政策学习</w:t>
      </w:r>
      <w:bookmarkEnd w:id="83"/>
    </w:p>
    <w:p w14:paraId="14991DEC">
      <w:pPr>
        <w:pStyle w:val="66"/>
        <w:rPr>
          <w:rFonts w:hint="eastAsia" w:eastAsia="宋体"/>
          <w:color w:val="auto"/>
          <w:lang w:eastAsia="zh-CN"/>
        </w:rPr>
      </w:pPr>
      <w:r>
        <w:rPr>
          <w:rFonts w:hint="eastAsia"/>
          <w:color w:val="auto"/>
          <w:shd w:val="clear" w:color="auto" w:fill="FFFFFF"/>
        </w:rPr>
        <w:t>体育社会</w:t>
      </w:r>
      <w:r>
        <w:rPr>
          <w:rFonts w:hint="eastAsia"/>
          <w:color w:val="auto"/>
        </w:rPr>
        <w:t>团体</w:t>
      </w:r>
      <w:r>
        <w:rPr>
          <w:rFonts w:hint="eastAsia"/>
          <w:color w:val="auto"/>
          <w:lang w:val="en-US" w:eastAsia="zh-CN"/>
        </w:rPr>
        <w:t>应能</w:t>
      </w:r>
      <w:r>
        <w:rPr>
          <w:rFonts w:hint="eastAsia" w:ascii="宋体" w:hAnsi="Times New Roman" w:eastAsia="宋体" w:cs="Times New Roman"/>
          <w:color w:val="auto"/>
          <w:kern w:val="0"/>
          <w:sz w:val="21"/>
          <w:szCs w:val="20"/>
          <w:lang w:val="en-US" w:eastAsia="zh-CN" w:bidi="ar"/>
        </w:rPr>
        <w:t>准确理解、认识和把握</w:t>
      </w:r>
      <w:r>
        <w:rPr>
          <w:rFonts w:hint="eastAsia" w:cs="Times New Roman"/>
          <w:color w:val="auto"/>
          <w:kern w:val="0"/>
          <w:sz w:val="21"/>
          <w:szCs w:val="20"/>
          <w:lang w:val="en-US" w:eastAsia="zh-CN" w:bidi="ar"/>
        </w:rPr>
        <w:t>体育</w:t>
      </w:r>
      <w:r>
        <w:rPr>
          <w:rFonts w:hint="eastAsia" w:ascii="宋体" w:hAnsi="Times New Roman" w:eastAsia="宋体" w:cs="Times New Roman"/>
          <w:color w:val="auto"/>
          <w:kern w:val="0"/>
          <w:sz w:val="21"/>
          <w:szCs w:val="20"/>
          <w:lang w:val="en-US" w:eastAsia="zh-CN" w:bidi="ar"/>
        </w:rPr>
        <w:t>相关法律法规和政策规定。严格执行</w:t>
      </w:r>
      <w:r>
        <w:rPr>
          <w:rFonts w:hint="eastAsia" w:cs="Times New Roman"/>
          <w:color w:val="auto"/>
          <w:kern w:val="0"/>
          <w:sz w:val="21"/>
          <w:szCs w:val="20"/>
          <w:lang w:val="en-US" w:eastAsia="zh-CN" w:bidi="ar"/>
        </w:rPr>
        <w:t>体育</w:t>
      </w:r>
      <w:r>
        <w:rPr>
          <w:rFonts w:hint="eastAsia" w:ascii="宋体" w:hAnsi="Times New Roman" w:eastAsia="宋体" w:cs="Times New Roman"/>
          <w:color w:val="auto"/>
          <w:kern w:val="0"/>
          <w:sz w:val="21"/>
          <w:szCs w:val="20"/>
          <w:lang w:val="en-US" w:eastAsia="zh-CN" w:bidi="ar"/>
        </w:rPr>
        <w:t>领域法律法规和政策，全面贯彻落实党中央国务院的决策部署</w:t>
      </w:r>
      <w:r>
        <w:rPr>
          <w:rFonts w:hint="eastAsia" w:cs="Times New Roman"/>
          <w:color w:val="auto"/>
          <w:kern w:val="0"/>
          <w:sz w:val="21"/>
          <w:szCs w:val="20"/>
          <w:lang w:val="en-US" w:eastAsia="zh-CN" w:bidi="ar"/>
        </w:rPr>
        <w:t>，</w:t>
      </w:r>
      <w:r>
        <w:rPr>
          <w:rFonts w:hint="eastAsia" w:ascii="宋体" w:hAnsi="Times New Roman" w:eastAsia="宋体" w:cs="Times New Roman"/>
          <w:color w:val="auto"/>
          <w:kern w:val="0"/>
          <w:sz w:val="21"/>
          <w:szCs w:val="20"/>
          <w:lang w:val="en-US" w:eastAsia="zh-CN" w:bidi="ar"/>
        </w:rPr>
        <w:t>运用</w:t>
      </w:r>
      <w:r>
        <w:rPr>
          <w:rFonts w:hint="eastAsia" w:cs="Times New Roman"/>
          <w:color w:val="auto"/>
          <w:kern w:val="0"/>
          <w:sz w:val="21"/>
          <w:szCs w:val="20"/>
          <w:lang w:val="en-US" w:eastAsia="zh-CN" w:bidi="ar"/>
        </w:rPr>
        <w:t>体育</w:t>
      </w:r>
      <w:r>
        <w:rPr>
          <w:rFonts w:hint="eastAsia" w:ascii="宋体" w:hAnsi="Times New Roman" w:eastAsia="宋体" w:cs="Times New Roman"/>
          <w:color w:val="auto"/>
          <w:kern w:val="0"/>
          <w:sz w:val="21"/>
          <w:szCs w:val="20"/>
          <w:lang w:val="en-US" w:eastAsia="zh-CN" w:bidi="ar"/>
        </w:rPr>
        <w:t>相关法律法规和政策，促进</w:t>
      </w:r>
      <w:r>
        <w:rPr>
          <w:rFonts w:hint="eastAsia"/>
          <w:color w:val="auto"/>
          <w:shd w:val="clear" w:color="auto" w:fill="FFFFFF"/>
        </w:rPr>
        <w:t>体育社会</w:t>
      </w:r>
      <w:r>
        <w:rPr>
          <w:rFonts w:hint="eastAsia"/>
          <w:color w:val="auto"/>
        </w:rPr>
        <w:t>团体</w:t>
      </w:r>
      <w:r>
        <w:rPr>
          <w:rFonts w:hint="eastAsia" w:ascii="宋体" w:hAnsi="Times New Roman" w:eastAsia="宋体" w:cs="Times New Roman"/>
          <w:color w:val="auto"/>
          <w:kern w:val="0"/>
          <w:sz w:val="21"/>
          <w:szCs w:val="20"/>
          <w:lang w:val="en-US" w:eastAsia="zh-CN" w:bidi="ar"/>
        </w:rPr>
        <w:t>健康发展</w:t>
      </w:r>
      <w:r>
        <w:rPr>
          <w:rFonts w:hint="eastAsia" w:cs="Times New Roman"/>
          <w:color w:val="auto"/>
          <w:kern w:val="0"/>
          <w:sz w:val="21"/>
          <w:szCs w:val="20"/>
          <w:lang w:val="en-US" w:eastAsia="zh-CN" w:bidi="ar"/>
        </w:rPr>
        <w:t>。</w:t>
      </w:r>
    </w:p>
    <w:p w14:paraId="33F62BEA">
      <w:pPr>
        <w:pStyle w:val="75"/>
        <w:spacing w:before="156" w:after="156"/>
        <w:ind w:left="0"/>
        <w:rPr>
          <w:color w:val="auto"/>
        </w:rPr>
      </w:pPr>
      <w:bookmarkStart w:id="84" w:name="_Toc20014"/>
      <w:r>
        <w:rPr>
          <w:rFonts w:hint="eastAsia"/>
          <w:color w:val="auto"/>
          <w:lang w:val="en-US" w:eastAsia="zh-CN"/>
        </w:rPr>
        <w:t>战略规划</w:t>
      </w:r>
      <w:bookmarkEnd w:id="84"/>
    </w:p>
    <w:p w14:paraId="7C0DD38C">
      <w:pPr>
        <w:pStyle w:val="66"/>
        <w:rPr>
          <w:color w:val="auto"/>
        </w:rPr>
      </w:pPr>
      <w:r>
        <w:rPr>
          <w:rFonts w:hint="eastAsia"/>
          <w:color w:val="auto"/>
          <w:shd w:val="clear" w:color="auto" w:fill="FFFFFF"/>
        </w:rPr>
        <w:t>体育社会</w:t>
      </w:r>
      <w:r>
        <w:rPr>
          <w:rFonts w:hint="eastAsia"/>
          <w:color w:val="auto"/>
        </w:rPr>
        <w:t>团体</w:t>
      </w:r>
      <w:r>
        <w:rPr>
          <w:rFonts w:hint="eastAsia"/>
          <w:color w:val="auto"/>
          <w:lang w:val="en-US" w:eastAsia="zh-CN"/>
        </w:rPr>
        <w:t>应</w:t>
      </w:r>
      <w:r>
        <w:rPr>
          <w:rFonts w:hint="eastAsia" w:ascii="宋体" w:hAnsi="Times New Roman" w:eastAsia="宋体" w:cs="Times New Roman"/>
          <w:color w:val="auto"/>
          <w:kern w:val="0"/>
          <w:sz w:val="21"/>
          <w:szCs w:val="20"/>
          <w:shd w:val="clear" w:color="auto" w:fill="FFFFFF"/>
          <w:lang w:val="en-US" w:eastAsia="zh-CN" w:bidi="ar"/>
        </w:rPr>
        <w:t>基于设立的初心和价值理念，明晰使命、愿景和价值观，坚定非营利属性。制定中长期发展规划，明确发展目标、发展路径和重点任务等，编制年度工作计划并组织实施。</w:t>
      </w:r>
    </w:p>
    <w:p w14:paraId="3AE2C4C2">
      <w:pPr>
        <w:pStyle w:val="75"/>
        <w:spacing w:before="156" w:after="156"/>
        <w:ind w:left="0"/>
        <w:rPr>
          <w:color w:val="auto"/>
        </w:rPr>
      </w:pPr>
      <w:bookmarkStart w:id="85" w:name="_Toc2531"/>
      <w:r>
        <w:rPr>
          <w:rFonts w:hint="eastAsia"/>
          <w:color w:val="auto"/>
          <w:lang w:val="en-US" w:eastAsia="zh-CN"/>
        </w:rPr>
        <w:t>组织评估</w:t>
      </w:r>
      <w:bookmarkEnd w:id="85"/>
    </w:p>
    <w:p w14:paraId="546C397D">
      <w:pPr>
        <w:pStyle w:val="66"/>
        <w:rPr>
          <w:color w:val="auto"/>
        </w:rPr>
      </w:pPr>
      <w:r>
        <w:rPr>
          <w:rFonts w:hint="eastAsia"/>
          <w:color w:val="auto"/>
          <w:shd w:val="clear" w:color="auto" w:fill="FFFFFF"/>
        </w:rPr>
        <w:t>体育社会</w:t>
      </w:r>
      <w:r>
        <w:rPr>
          <w:rFonts w:hint="eastAsia"/>
          <w:color w:val="auto"/>
        </w:rPr>
        <w:t>团体</w:t>
      </w:r>
      <w:r>
        <w:rPr>
          <w:rFonts w:hint="eastAsia"/>
          <w:color w:val="auto"/>
          <w:lang w:val="en-US" w:eastAsia="zh-CN"/>
        </w:rPr>
        <w:t>应</w:t>
      </w:r>
      <w:r>
        <w:rPr>
          <w:rFonts w:hint="eastAsia" w:ascii="宋体" w:hAnsi="Times New Roman" w:eastAsia="宋体" w:cs="Times New Roman"/>
          <w:color w:val="auto"/>
          <w:kern w:val="0"/>
          <w:sz w:val="21"/>
          <w:szCs w:val="20"/>
          <w:shd w:val="clear" w:color="auto" w:fill="FFFFFF"/>
          <w:lang w:val="en-US" w:eastAsia="zh-CN" w:bidi="ar"/>
        </w:rPr>
        <w:t>根据需要采取自评或邀请第三方专业机构等方式，定期对本单位整体发展状况进行评估。</w:t>
      </w:r>
      <w:r>
        <w:rPr>
          <w:rFonts w:hint="eastAsia" w:cs="Times New Roman"/>
          <w:color w:val="auto"/>
          <w:kern w:val="0"/>
          <w:sz w:val="21"/>
          <w:szCs w:val="20"/>
          <w:shd w:val="clear" w:color="auto" w:fill="FFFFFF"/>
          <w:lang w:val="en-US" w:eastAsia="zh-CN" w:bidi="ar"/>
        </w:rPr>
        <w:t>应</w:t>
      </w:r>
      <w:r>
        <w:rPr>
          <w:rFonts w:hint="eastAsia" w:ascii="宋体" w:hAnsi="Times New Roman" w:eastAsia="宋体" w:cs="Times New Roman"/>
          <w:color w:val="auto"/>
          <w:kern w:val="0"/>
          <w:sz w:val="21"/>
          <w:szCs w:val="20"/>
          <w:shd w:val="clear" w:color="auto" w:fill="FFFFFF"/>
          <w:lang w:val="en-US" w:eastAsia="zh-CN" w:bidi="ar"/>
        </w:rPr>
        <w:t>积极主动参加社会组织等级评估，争取获得3A及以上评估等级。加强评估结果的应用，及时解决</w:t>
      </w:r>
      <w:r>
        <w:rPr>
          <w:rFonts w:hint="eastAsia" w:cs="Times New Roman"/>
          <w:color w:val="auto"/>
          <w:kern w:val="0"/>
          <w:sz w:val="21"/>
          <w:szCs w:val="20"/>
          <w:shd w:val="clear" w:color="auto" w:fill="FFFFFF"/>
          <w:lang w:val="en-US" w:eastAsia="zh-CN" w:bidi="ar"/>
        </w:rPr>
        <w:t>单位</w:t>
      </w:r>
      <w:r>
        <w:rPr>
          <w:rFonts w:hint="eastAsia" w:ascii="宋体" w:hAnsi="Times New Roman" w:eastAsia="宋体" w:cs="Times New Roman"/>
          <w:color w:val="auto"/>
          <w:kern w:val="0"/>
          <w:sz w:val="21"/>
          <w:szCs w:val="20"/>
          <w:shd w:val="clear" w:color="auto" w:fill="FFFFFF"/>
          <w:lang w:val="en-US" w:eastAsia="zh-CN" w:bidi="ar"/>
        </w:rPr>
        <w:t>发展过程中存在的问题，通过持续改进，不断提高</w:t>
      </w:r>
      <w:r>
        <w:rPr>
          <w:rFonts w:hint="eastAsia" w:cs="Times New Roman"/>
          <w:color w:val="auto"/>
          <w:kern w:val="0"/>
          <w:sz w:val="21"/>
          <w:szCs w:val="20"/>
          <w:shd w:val="clear" w:color="auto" w:fill="FFFFFF"/>
          <w:lang w:val="en-US" w:eastAsia="zh-CN" w:bidi="ar"/>
        </w:rPr>
        <w:t>单位</w:t>
      </w:r>
      <w:r>
        <w:rPr>
          <w:rFonts w:hint="eastAsia" w:ascii="宋体" w:hAnsi="Times New Roman" w:eastAsia="宋体" w:cs="Times New Roman"/>
          <w:color w:val="auto"/>
          <w:kern w:val="0"/>
          <w:sz w:val="21"/>
          <w:szCs w:val="20"/>
          <w:shd w:val="clear" w:color="auto" w:fill="FFFFFF"/>
          <w:lang w:val="en-US" w:eastAsia="zh-CN" w:bidi="ar"/>
        </w:rPr>
        <w:t>服务能力和水平。</w:t>
      </w:r>
    </w:p>
    <w:p w14:paraId="20530D08">
      <w:pPr>
        <w:pStyle w:val="75"/>
        <w:spacing w:before="156" w:after="156"/>
        <w:ind w:left="0"/>
        <w:rPr>
          <w:rFonts w:hint="eastAsia"/>
          <w:color w:val="auto"/>
          <w:lang w:val="en-US" w:eastAsia="zh-CN"/>
        </w:rPr>
      </w:pPr>
      <w:bookmarkStart w:id="86" w:name="_Toc30137"/>
      <w:r>
        <w:rPr>
          <w:rFonts w:hint="eastAsia"/>
          <w:color w:val="auto"/>
          <w:lang w:val="en-US" w:eastAsia="zh-CN"/>
        </w:rPr>
        <w:t>文化建设</w:t>
      </w:r>
      <w:bookmarkEnd w:id="86"/>
    </w:p>
    <w:p w14:paraId="065AED90">
      <w:pPr>
        <w:pStyle w:val="175"/>
        <w:numPr>
          <w:ilvl w:val="3"/>
          <w:numId w:val="0"/>
        </w:numPr>
        <w:ind w:firstLine="420" w:firstLineChars="200"/>
        <w:rPr>
          <w:color w:val="auto"/>
          <w:shd w:val="clear" w:color="auto" w:fill="FFFFFF"/>
        </w:rPr>
      </w:pPr>
      <w:r>
        <w:rPr>
          <w:rFonts w:hint="eastAsia"/>
          <w:color w:val="auto"/>
          <w:shd w:val="clear" w:color="auto" w:fill="FFFFFF"/>
        </w:rPr>
        <w:t>应</w:t>
      </w:r>
      <w:r>
        <w:rPr>
          <w:rFonts w:ascii="FZShuSong-Z01" w:hAnsi="FZShuSong-Z01" w:eastAsia="FZShuSong-Z01" w:cs="FZShuSong-Z01"/>
          <w:color w:val="auto"/>
          <w:sz w:val="20"/>
          <w:lang w:bidi="ar"/>
        </w:rPr>
        <w:t>建立学习型</w:t>
      </w:r>
      <w:r>
        <w:rPr>
          <w:rFonts w:hint="eastAsia"/>
          <w:color w:val="auto"/>
          <w:shd w:val="clear" w:color="auto" w:fill="FFFFFF"/>
        </w:rPr>
        <w:t>体育社会团体</w:t>
      </w:r>
      <w:r>
        <w:rPr>
          <w:rFonts w:ascii="FZShuSong-Z01" w:hAnsi="FZShuSong-Z01" w:eastAsia="FZShuSong-Z01" w:cs="FZShuSong-Z01"/>
          <w:color w:val="auto"/>
          <w:sz w:val="20"/>
          <w:lang w:bidi="ar"/>
        </w:rPr>
        <w:t>，坚持以社会主义核心价值观引领文化建设，通过党组织、工会、共青团等开展丰富多彩的文化活动，展现新时期</w:t>
      </w:r>
      <w:r>
        <w:rPr>
          <w:rFonts w:hint="eastAsia"/>
          <w:color w:val="auto"/>
          <w:shd w:val="clear" w:color="auto" w:fill="FFFFFF"/>
        </w:rPr>
        <w:t>体育社会团体</w:t>
      </w:r>
      <w:r>
        <w:rPr>
          <w:rFonts w:ascii="FZShuSong-Z01" w:hAnsi="FZShuSong-Z01" w:eastAsia="FZShuSong-Z01" w:cs="FZShuSong-Z01"/>
          <w:color w:val="auto"/>
          <w:sz w:val="20"/>
          <w:lang w:bidi="ar"/>
        </w:rPr>
        <w:t>良好风貌</w:t>
      </w:r>
      <w:r>
        <w:rPr>
          <w:rFonts w:hint="eastAsia" w:ascii="FZShuSong-Z01" w:hAnsi="FZShuSong-Z01" w:eastAsia="FZShuSong-Z01" w:cs="FZShuSong-Z01"/>
          <w:color w:val="auto"/>
          <w:sz w:val="20"/>
          <w:lang w:bidi="ar"/>
        </w:rPr>
        <w:t>。</w:t>
      </w:r>
    </w:p>
    <w:bookmarkEnd w:id="82"/>
    <w:p w14:paraId="39F246A6">
      <w:pPr>
        <w:pStyle w:val="115"/>
        <w:spacing w:before="156" w:after="156"/>
        <w:ind w:left="0"/>
        <w:rPr>
          <w:color w:val="auto"/>
        </w:rPr>
      </w:pPr>
      <w:bookmarkStart w:id="87" w:name="_Toc24425"/>
      <w:bookmarkStart w:id="88" w:name="_Toc30983"/>
      <w:r>
        <w:rPr>
          <w:rFonts w:hint="eastAsia"/>
          <w:color w:val="auto"/>
          <w:lang w:val="en-US" w:eastAsia="zh-CN"/>
        </w:rPr>
        <w:t>人力资源</w:t>
      </w:r>
      <w:r>
        <w:rPr>
          <w:rFonts w:hint="eastAsia"/>
          <w:color w:val="auto"/>
        </w:rPr>
        <w:t>管理</w:t>
      </w:r>
      <w:bookmarkEnd w:id="87"/>
      <w:bookmarkEnd w:id="88"/>
      <w:r>
        <w:rPr>
          <w:rFonts w:hint="eastAsia"/>
          <w:color w:val="auto"/>
        </w:rPr>
        <w:t xml:space="preserve"> </w:t>
      </w:r>
    </w:p>
    <w:p w14:paraId="37FA7BBA">
      <w:pPr>
        <w:pStyle w:val="75"/>
        <w:spacing w:before="156" w:after="156"/>
        <w:ind w:left="0"/>
        <w:rPr>
          <w:color w:val="auto"/>
        </w:rPr>
      </w:pPr>
      <w:bookmarkStart w:id="89" w:name="_Toc28571"/>
      <w:r>
        <w:rPr>
          <w:rFonts w:hint="eastAsia"/>
          <w:color w:val="auto"/>
        </w:rPr>
        <w:t>专职人员</w:t>
      </w:r>
      <w:bookmarkEnd w:id="89"/>
      <w:r>
        <w:rPr>
          <w:rFonts w:hint="eastAsia"/>
          <w:color w:val="auto"/>
        </w:rPr>
        <w:t xml:space="preserve">  </w:t>
      </w:r>
      <w:r>
        <w:rPr>
          <w:color w:val="auto"/>
          <w:shd w:val="clear" w:color="auto" w:fill="FFFFFF"/>
        </w:rPr>
        <w:t xml:space="preserve"> </w:t>
      </w:r>
    </w:p>
    <w:p w14:paraId="5C3BEFFF">
      <w:pPr>
        <w:pStyle w:val="174"/>
        <w:ind w:left="0"/>
        <w:rPr>
          <w:color w:val="auto"/>
          <w:shd w:val="clear" w:color="auto" w:fill="FFFFFF"/>
        </w:rPr>
      </w:pPr>
      <w:r>
        <w:rPr>
          <w:rFonts w:hint="eastAsia"/>
          <w:color w:val="auto"/>
          <w:shd w:val="clear" w:color="auto" w:fill="FFFFFF"/>
        </w:rPr>
        <w:t>应根据自身发展需要，依据有关法律法规制定并实施适</w:t>
      </w:r>
      <w:r>
        <w:rPr>
          <w:color w:val="auto"/>
          <w:shd w:val="clear" w:color="auto" w:fill="FFFFFF"/>
        </w:rPr>
        <w:t xml:space="preserve">宜的人事管理制度，构建包括人才招聘、岗位职责、绩效考核、薪酬管理、劳动关系等内容的人力资源管理体系，为员工成长创造良好环境，增强对人才的吸引力。 </w:t>
      </w:r>
    </w:p>
    <w:p w14:paraId="67F66C3A">
      <w:pPr>
        <w:pStyle w:val="174"/>
        <w:ind w:left="0"/>
        <w:rPr>
          <w:color w:val="auto"/>
          <w:shd w:val="clear" w:color="auto" w:fill="FFFFFF"/>
        </w:rPr>
      </w:pPr>
      <w:r>
        <w:rPr>
          <w:color w:val="auto"/>
          <w:shd w:val="clear" w:color="auto" w:fill="FFFFFF"/>
        </w:rPr>
        <w:t>建立规范的薪酬管理制度、科学的考核激励机制、透明的监督制度。按照劳动合同法和相关政策规定与所聘用专职工作人员签订劳动合同，履行社会保险、住房公积金等缴存义务，可建立企业年金及其他补充保险</w:t>
      </w:r>
      <w:r>
        <w:rPr>
          <w:rFonts w:hint="eastAsia"/>
          <w:color w:val="auto"/>
          <w:shd w:val="clear" w:color="auto" w:fill="FFFFFF"/>
        </w:rPr>
        <w:t>。</w:t>
      </w:r>
    </w:p>
    <w:p w14:paraId="6D842721">
      <w:pPr>
        <w:pStyle w:val="174"/>
        <w:ind w:left="0"/>
        <w:rPr>
          <w:color w:val="auto"/>
          <w:shd w:val="clear" w:color="auto" w:fill="FFFFFF"/>
        </w:rPr>
      </w:pPr>
      <w:r>
        <w:rPr>
          <w:rFonts w:hint="eastAsia"/>
          <w:color w:val="auto"/>
          <w:shd w:val="clear" w:color="auto" w:fill="FFFFFF"/>
        </w:rPr>
        <w:t>配备专职工作人员，年龄结构、专业知识和数量与</w:t>
      </w:r>
      <w:r>
        <w:rPr>
          <w:color w:val="auto"/>
          <w:shd w:val="clear" w:color="auto" w:fill="FFFFFF"/>
        </w:rPr>
        <w:t>本单位业务活动需求相适应</w:t>
      </w:r>
      <w:r>
        <w:rPr>
          <w:rFonts w:hint="eastAsia"/>
          <w:color w:val="auto"/>
          <w:shd w:val="clear" w:color="auto" w:fill="FFFFFF"/>
        </w:rPr>
        <w:t>。</w:t>
      </w:r>
      <w:r>
        <w:rPr>
          <w:color w:val="auto"/>
          <w:shd w:val="clear" w:color="auto" w:fill="FFFFFF"/>
        </w:rPr>
        <w:t xml:space="preserve"> </w:t>
      </w:r>
    </w:p>
    <w:p w14:paraId="1A9CDDC4">
      <w:pPr>
        <w:pStyle w:val="174"/>
        <w:ind w:left="0"/>
        <w:rPr>
          <w:color w:val="auto"/>
          <w:shd w:val="clear" w:color="auto" w:fill="FFFFFF"/>
        </w:rPr>
      </w:pPr>
      <w:r>
        <w:rPr>
          <w:color w:val="auto"/>
          <w:shd w:val="clear" w:color="auto" w:fill="FFFFFF"/>
        </w:rPr>
        <w:t>建立良好的沟通协作机制，提升团队执行力</w:t>
      </w:r>
      <w:r>
        <w:rPr>
          <w:rFonts w:hint="eastAsia"/>
          <w:color w:val="auto"/>
          <w:shd w:val="clear" w:color="auto" w:fill="FFFFFF"/>
        </w:rPr>
        <w:t>。</w:t>
      </w:r>
      <w:r>
        <w:rPr>
          <w:color w:val="auto"/>
          <w:shd w:val="clear" w:color="auto" w:fill="FFFFFF"/>
        </w:rPr>
        <w:t xml:space="preserve"> </w:t>
      </w:r>
    </w:p>
    <w:p w14:paraId="78FDBA60">
      <w:pPr>
        <w:pStyle w:val="174"/>
        <w:ind w:left="0"/>
        <w:rPr>
          <w:color w:val="auto"/>
          <w:shd w:val="clear" w:color="auto" w:fill="FFFFFF"/>
        </w:rPr>
      </w:pPr>
      <w:r>
        <w:rPr>
          <w:color w:val="auto"/>
          <w:shd w:val="clear" w:color="auto" w:fill="FFFFFF"/>
        </w:rPr>
        <w:t>积极为员工提供满足岗位所需要的职业道德与操守、专业知识、能力水平等方面的培训，促进员工学习和发展，不断提升自身修养，胜任岗位工作</w:t>
      </w:r>
      <w:r>
        <w:rPr>
          <w:rFonts w:hint="eastAsia"/>
          <w:color w:val="auto"/>
          <w:shd w:val="clear" w:color="auto" w:fill="FFFFFF"/>
        </w:rPr>
        <w:t>。</w:t>
      </w:r>
    </w:p>
    <w:p w14:paraId="41C0C91A">
      <w:pPr>
        <w:pStyle w:val="75"/>
        <w:spacing w:before="156" w:after="156"/>
        <w:ind w:left="0"/>
        <w:rPr>
          <w:color w:val="auto"/>
        </w:rPr>
      </w:pPr>
      <w:bookmarkStart w:id="90" w:name="_Toc19347"/>
      <w:r>
        <w:rPr>
          <w:rFonts w:hint="eastAsia"/>
          <w:color w:val="auto"/>
        </w:rPr>
        <w:t>兼职人员</w:t>
      </w:r>
      <w:bookmarkEnd w:id="90"/>
    </w:p>
    <w:p w14:paraId="5393901E">
      <w:pPr>
        <w:pStyle w:val="66"/>
        <w:ind w:firstLine="420"/>
        <w:rPr>
          <w:color w:val="auto"/>
        </w:rPr>
      </w:pPr>
      <w:r>
        <w:rPr>
          <w:rFonts w:hint="eastAsia"/>
          <w:color w:val="auto"/>
          <w:shd w:val="clear" w:color="auto" w:fill="FFFFFF"/>
        </w:rPr>
        <w:t>应建立</w:t>
      </w:r>
      <w:r>
        <w:rPr>
          <w:rFonts w:hint="eastAsia"/>
          <w:color w:val="auto"/>
        </w:rPr>
        <w:t>兼职人员的</w:t>
      </w:r>
      <w:r>
        <w:rPr>
          <w:rFonts w:hint="eastAsia"/>
          <w:color w:val="auto"/>
          <w:shd w:val="clear" w:color="auto" w:fill="FFFFFF"/>
        </w:rPr>
        <w:t>任用、培训、考察、薪酬、奖惩和绩效考核制度。</w:t>
      </w:r>
    </w:p>
    <w:p w14:paraId="49FC809F">
      <w:pPr>
        <w:pStyle w:val="75"/>
        <w:spacing w:before="156" w:after="156"/>
        <w:ind w:left="0"/>
        <w:rPr>
          <w:color w:val="auto"/>
        </w:rPr>
      </w:pPr>
      <w:bookmarkStart w:id="91" w:name="_Toc29951"/>
      <w:r>
        <w:rPr>
          <w:rFonts w:hint="eastAsia"/>
          <w:color w:val="auto"/>
        </w:rPr>
        <w:t>专业人员</w:t>
      </w:r>
      <w:bookmarkEnd w:id="91"/>
    </w:p>
    <w:p w14:paraId="7833A4D9">
      <w:pPr>
        <w:pStyle w:val="174"/>
        <w:ind w:left="0"/>
        <w:rPr>
          <w:color w:val="auto"/>
          <w:shd w:val="clear" w:color="auto" w:fill="FFFFFF"/>
        </w:rPr>
      </w:pPr>
      <w:r>
        <w:rPr>
          <w:rFonts w:hint="eastAsia"/>
          <w:color w:val="auto"/>
          <w:shd w:val="clear" w:color="auto" w:fill="FFFFFF"/>
        </w:rPr>
        <w:t>宜建立运动员、教练员、裁判员、专家队伍等相关工作制度。</w:t>
      </w:r>
    </w:p>
    <w:p w14:paraId="003CE32E">
      <w:pPr>
        <w:pStyle w:val="174"/>
        <w:ind w:left="0"/>
        <w:rPr>
          <w:color w:val="auto"/>
          <w:shd w:val="clear" w:color="auto" w:fill="FFFFFF"/>
        </w:rPr>
      </w:pPr>
      <w:r>
        <w:rPr>
          <w:rFonts w:hint="eastAsia"/>
          <w:color w:val="auto"/>
          <w:shd w:val="clear" w:color="auto" w:fill="FFFFFF"/>
        </w:rPr>
        <w:t>宜为裁判员、教练员提供活动场所。</w:t>
      </w:r>
    </w:p>
    <w:p w14:paraId="30019A95">
      <w:pPr>
        <w:pStyle w:val="174"/>
        <w:ind w:left="0"/>
        <w:rPr>
          <w:color w:val="auto"/>
          <w:shd w:val="clear" w:color="auto" w:fill="FFFFFF"/>
        </w:rPr>
      </w:pPr>
      <w:r>
        <w:rPr>
          <w:rFonts w:hint="eastAsia"/>
          <w:color w:val="auto"/>
          <w:shd w:val="clear" w:color="auto" w:fill="FFFFFF"/>
        </w:rPr>
        <w:t>运动员注册要求见《全国运动员注册与交流管理办法（试行）》。</w:t>
      </w:r>
    </w:p>
    <w:p w14:paraId="24AB48FC">
      <w:pPr>
        <w:pStyle w:val="115"/>
        <w:spacing w:before="156" w:after="156"/>
        <w:ind w:left="0"/>
        <w:rPr>
          <w:rFonts w:hint="eastAsia"/>
          <w:color w:val="auto"/>
        </w:rPr>
      </w:pPr>
      <w:bookmarkStart w:id="92" w:name="_Toc2929"/>
      <w:bookmarkStart w:id="121" w:name="_GoBack"/>
      <w:bookmarkEnd w:id="121"/>
      <w:r>
        <w:rPr>
          <w:rFonts w:hint="eastAsia"/>
          <w:color w:val="auto"/>
          <w:lang w:val="en-US" w:eastAsia="zh-CN"/>
        </w:rPr>
        <w:t>业务管理</w:t>
      </w:r>
      <w:bookmarkEnd w:id="92"/>
    </w:p>
    <w:p w14:paraId="7117BEBA">
      <w:pPr>
        <w:pStyle w:val="75"/>
        <w:spacing w:before="156" w:after="156"/>
        <w:ind w:left="0"/>
        <w:rPr>
          <w:rFonts w:hint="eastAsia"/>
          <w:color w:val="auto"/>
        </w:rPr>
      </w:pPr>
      <w:bookmarkStart w:id="93" w:name="_Toc28646"/>
      <w:bookmarkStart w:id="94" w:name="_Toc22363"/>
      <w:r>
        <w:rPr>
          <w:rFonts w:hint="eastAsia"/>
          <w:color w:val="auto"/>
        </w:rPr>
        <w:t>培训管理</w:t>
      </w:r>
      <w:bookmarkEnd w:id="93"/>
      <w:bookmarkEnd w:id="94"/>
    </w:p>
    <w:p w14:paraId="04537E27">
      <w:pPr>
        <w:pStyle w:val="174"/>
        <w:ind w:left="0"/>
        <w:rPr>
          <w:color w:val="auto"/>
          <w:shd w:val="clear" w:color="auto" w:fill="FFFFFF"/>
        </w:rPr>
      </w:pPr>
      <w:r>
        <w:rPr>
          <w:rFonts w:hint="eastAsia"/>
          <w:color w:val="auto"/>
          <w:shd w:val="clear" w:color="auto" w:fill="FFFFFF"/>
        </w:rPr>
        <w:t>体育社会</w:t>
      </w:r>
      <w:r>
        <w:rPr>
          <w:rFonts w:hint="eastAsia"/>
          <w:color w:val="auto"/>
        </w:rPr>
        <w:t>团体</w:t>
      </w:r>
      <w:r>
        <w:rPr>
          <w:rFonts w:hint="eastAsia"/>
          <w:color w:val="auto"/>
          <w:shd w:val="clear" w:color="auto" w:fill="FFFFFF"/>
        </w:rPr>
        <w:t>应按照章程规定的业务范围开展培训工作。</w:t>
      </w:r>
    </w:p>
    <w:p w14:paraId="2E6A6407">
      <w:pPr>
        <w:pStyle w:val="174"/>
        <w:ind w:left="0"/>
        <w:rPr>
          <w:color w:val="auto"/>
          <w:shd w:val="clear" w:color="auto" w:fill="FFFFFF"/>
        </w:rPr>
      </w:pPr>
      <w:r>
        <w:rPr>
          <w:rFonts w:hint="eastAsia"/>
          <w:color w:val="auto"/>
          <w:shd w:val="clear" w:color="auto" w:fill="FFFFFF"/>
        </w:rPr>
        <w:t>体育社会</w:t>
      </w:r>
      <w:r>
        <w:rPr>
          <w:rFonts w:hint="eastAsia"/>
          <w:color w:val="auto"/>
        </w:rPr>
        <w:t>团体</w:t>
      </w:r>
      <w:r>
        <w:rPr>
          <w:color w:val="auto"/>
          <w:shd w:val="clear" w:color="auto" w:fill="FFFFFF"/>
        </w:rPr>
        <w:t>开展</w:t>
      </w:r>
      <w:r>
        <w:rPr>
          <w:rFonts w:hint="eastAsia"/>
          <w:color w:val="auto"/>
          <w:shd w:val="clear" w:color="auto" w:fill="FFFFFF"/>
        </w:rPr>
        <w:t>校外</w:t>
      </w:r>
      <w:r>
        <w:rPr>
          <w:color w:val="auto"/>
          <w:shd w:val="clear" w:color="auto" w:fill="FFFFFF"/>
        </w:rPr>
        <w:t>体育培训活动</w:t>
      </w:r>
      <w:r>
        <w:rPr>
          <w:rFonts w:hint="eastAsia"/>
          <w:color w:val="auto"/>
          <w:shd w:val="clear" w:color="auto" w:fill="FFFFFF"/>
        </w:rPr>
        <w:t>要求见《关于进一步减轻义务教育阶段学生作业负担和校外培训负担的意见》《</w:t>
      </w:r>
      <w:r>
        <w:rPr>
          <w:color w:val="auto"/>
          <w:shd w:val="clear" w:color="auto" w:fill="FFFFFF"/>
        </w:rPr>
        <w:t>体育总局办公厅关于做好课外体育培训行业服务监管工作的通知》</w:t>
      </w:r>
      <w:r>
        <w:rPr>
          <w:rFonts w:hint="eastAsia"/>
          <w:color w:val="auto"/>
          <w:shd w:val="clear" w:color="auto" w:fill="FFFFFF"/>
        </w:rPr>
        <w:t>等。</w:t>
      </w:r>
    </w:p>
    <w:p w14:paraId="07B926C0">
      <w:pPr>
        <w:pStyle w:val="174"/>
        <w:ind w:left="0"/>
        <w:rPr>
          <w:color w:val="auto"/>
          <w:shd w:val="clear" w:color="auto" w:fill="FFFFFF"/>
        </w:rPr>
      </w:pPr>
      <w:r>
        <w:rPr>
          <w:rFonts w:hint="eastAsia"/>
          <w:color w:val="auto"/>
          <w:shd w:val="clear" w:color="auto" w:fill="FFFFFF"/>
        </w:rPr>
        <w:t>体育社会</w:t>
      </w:r>
      <w:r>
        <w:rPr>
          <w:rFonts w:hint="eastAsia"/>
          <w:color w:val="auto"/>
        </w:rPr>
        <w:t>团体</w:t>
      </w:r>
      <w:r>
        <w:rPr>
          <w:rFonts w:hint="eastAsia"/>
          <w:color w:val="auto"/>
          <w:shd w:val="clear" w:color="auto" w:fill="FFFFFF"/>
        </w:rPr>
        <w:t>开展课外体育培训活动的场地设施、课程要求、从业人员要求、内部管理要求、安全要求见《课外体育培训行为规范》的规定。体育类校外培训机构的设置标准见《广东省体育类校外培训机构设置标准（试行）》要求。</w:t>
      </w:r>
    </w:p>
    <w:p w14:paraId="2736F226">
      <w:pPr>
        <w:pStyle w:val="174"/>
        <w:ind w:left="0"/>
        <w:rPr>
          <w:color w:val="auto"/>
          <w:shd w:val="clear" w:color="auto" w:fill="FFFFFF"/>
        </w:rPr>
      </w:pPr>
      <w:r>
        <w:rPr>
          <w:rFonts w:hint="eastAsia"/>
          <w:color w:val="auto"/>
          <w:shd w:val="clear" w:color="auto" w:fill="FFFFFF"/>
        </w:rPr>
        <w:t>体育社会</w:t>
      </w:r>
      <w:r>
        <w:rPr>
          <w:rFonts w:hint="eastAsia"/>
          <w:color w:val="auto"/>
        </w:rPr>
        <w:t>团体</w:t>
      </w:r>
      <w:r>
        <w:rPr>
          <w:rFonts w:hint="eastAsia"/>
          <w:color w:val="auto"/>
          <w:shd w:val="clear" w:color="auto" w:fill="FFFFFF"/>
        </w:rPr>
        <w:t>开展校外体育培训活动不应超出相关收费标准，预收费管理见《教育部等六部门关于加强校外培训机构预收费监管工作的通知》要求，不应开展学科类培训，未经相关行政主管部门授权，不应自行制定、命名、颁发各类体育从业资格证书。</w:t>
      </w:r>
    </w:p>
    <w:p w14:paraId="167F64E4">
      <w:pPr>
        <w:pStyle w:val="174"/>
        <w:ind w:left="0"/>
        <w:rPr>
          <w:color w:val="auto"/>
          <w:shd w:val="clear" w:color="auto" w:fill="FFFFFF"/>
        </w:rPr>
      </w:pPr>
      <w:r>
        <w:rPr>
          <w:rFonts w:hint="eastAsia" w:hAnsi="宋体" w:cs="宋体"/>
          <w:color w:val="auto"/>
          <w:szCs w:val="21"/>
          <w:lang w:bidi="ar"/>
        </w:rPr>
        <w:t>体育社会</w:t>
      </w:r>
      <w:r>
        <w:rPr>
          <w:rFonts w:hint="eastAsia"/>
          <w:color w:val="auto"/>
        </w:rPr>
        <w:t>团体</w:t>
      </w:r>
      <w:r>
        <w:rPr>
          <w:rFonts w:hint="eastAsia" w:hAnsi="宋体" w:cs="宋体"/>
          <w:color w:val="auto"/>
          <w:szCs w:val="21"/>
          <w:lang w:bidi="ar"/>
        </w:rPr>
        <w:t>经行政机关授权或委托开展的具有强制性的法定培训，应由授权或委托的国家机关采用政府购买服务的方式实施</w:t>
      </w:r>
      <w:r>
        <w:rPr>
          <w:rFonts w:hint="eastAsia"/>
          <w:color w:val="auto"/>
          <w:shd w:val="clear" w:color="auto" w:fill="FFFFFF"/>
        </w:rPr>
        <w:t>。</w:t>
      </w:r>
    </w:p>
    <w:p w14:paraId="518F39DD">
      <w:pPr>
        <w:pStyle w:val="174"/>
        <w:ind w:left="0"/>
        <w:rPr>
          <w:color w:val="auto"/>
          <w:shd w:val="clear" w:color="auto" w:fill="FFFFFF"/>
        </w:rPr>
      </w:pPr>
      <w:r>
        <w:rPr>
          <w:rFonts w:hint="eastAsia"/>
          <w:color w:val="auto"/>
          <w:shd w:val="clear" w:color="auto" w:fill="FFFFFF"/>
        </w:rPr>
        <w:t>体育社会</w:t>
      </w:r>
      <w:r>
        <w:rPr>
          <w:rFonts w:hint="eastAsia"/>
          <w:color w:val="auto"/>
        </w:rPr>
        <w:t>团体</w:t>
      </w:r>
      <w:r>
        <w:rPr>
          <w:rFonts w:hint="eastAsia" w:hAnsi="宋体" w:cs="宋体"/>
          <w:color w:val="auto"/>
          <w:sz w:val="22"/>
          <w:szCs w:val="22"/>
          <w:lang w:bidi="ar"/>
        </w:rPr>
        <w:t>开展资格考评、等级评定、信用评价等活动，应当以实质性考核、检测、鉴定、认证等结果、数据为依据，真实、客观进行评价，不得开展无实质性服务的“买证卖证”活动</w:t>
      </w:r>
      <w:r>
        <w:rPr>
          <w:rFonts w:hint="eastAsia"/>
          <w:color w:val="auto"/>
          <w:shd w:val="clear" w:color="auto" w:fill="FFFFFF"/>
        </w:rPr>
        <w:t>。</w:t>
      </w:r>
    </w:p>
    <w:p w14:paraId="2868CFB4">
      <w:pPr>
        <w:pStyle w:val="174"/>
        <w:ind w:left="0"/>
        <w:rPr>
          <w:color w:val="auto"/>
          <w:shd w:val="clear" w:color="auto" w:fill="FFFFFF"/>
        </w:rPr>
      </w:pPr>
      <w:r>
        <w:rPr>
          <w:rFonts w:hint="eastAsia"/>
          <w:color w:val="auto"/>
          <w:shd w:val="clear" w:color="auto" w:fill="FFFFFF"/>
        </w:rPr>
        <w:t>体育社会</w:t>
      </w:r>
      <w:r>
        <w:rPr>
          <w:rFonts w:hint="eastAsia"/>
          <w:color w:val="auto"/>
        </w:rPr>
        <w:t>团体</w:t>
      </w:r>
      <w:r>
        <w:rPr>
          <w:rFonts w:hint="eastAsia"/>
          <w:color w:val="auto"/>
          <w:shd w:val="clear" w:color="auto" w:fill="FFFFFF"/>
        </w:rPr>
        <w:t>开展培训活动应当紧贴业务工作实际和培训对象需求，制定培训方案，保证培训质量，合理制定收费标准，培训服务和收费要质价相符。</w:t>
      </w:r>
    </w:p>
    <w:p w14:paraId="43033A26">
      <w:pPr>
        <w:pStyle w:val="174"/>
        <w:ind w:left="0"/>
        <w:rPr>
          <w:color w:val="auto"/>
          <w:shd w:val="clear" w:color="auto" w:fill="FFFFFF"/>
        </w:rPr>
      </w:pPr>
      <w:r>
        <w:rPr>
          <w:rFonts w:hint="eastAsia"/>
          <w:color w:val="auto"/>
          <w:shd w:val="clear" w:color="auto" w:fill="FFFFFF"/>
        </w:rPr>
        <w:t>体育社会</w:t>
      </w:r>
      <w:r>
        <w:rPr>
          <w:rFonts w:hint="eastAsia"/>
          <w:color w:val="auto"/>
        </w:rPr>
        <w:t>团体</w:t>
      </w:r>
      <w:r>
        <w:rPr>
          <w:rFonts w:hint="eastAsia"/>
          <w:color w:val="auto"/>
          <w:shd w:val="clear" w:color="auto" w:fill="FFFFFF"/>
        </w:rPr>
        <w:t>开展专业技术人员继续教育，以修习学时维持证书有效性的，应明确认可学时的其他方式，不应强制会员只接受自身举办的继续教育，不应独家经营、过高收费。</w:t>
      </w:r>
    </w:p>
    <w:p w14:paraId="71690D11">
      <w:pPr>
        <w:pStyle w:val="75"/>
        <w:spacing w:before="156" w:after="156"/>
        <w:ind w:left="0"/>
        <w:rPr>
          <w:rFonts w:hint="eastAsia"/>
          <w:color w:val="auto"/>
        </w:rPr>
      </w:pPr>
      <w:bookmarkStart w:id="95" w:name="_Toc27482"/>
      <w:bookmarkStart w:id="96" w:name="_Toc2725"/>
      <w:r>
        <w:rPr>
          <w:rFonts w:hint="eastAsia"/>
          <w:color w:val="auto"/>
        </w:rPr>
        <w:t>赛事活动管理</w:t>
      </w:r>
      <w:bookmarkEnd w:id="95"/>
      <w:bookmarkEnd w:id="96"/>
    </w:p>
    <w:p w14:paraId="7D9BCBA8">
      <w:pPr>
        <w:pStyle w:val="174"/>
        <w:ind w:left="0"/>
        <w:rPr>
          <w:color w:val="auto"/>
          <w:shd w:val="clear" w:color="auto" w:fill="FFFFFF"/>
        </w:rPr>
      </w:pPr>
      <w:r>
        <w:rPr>
          <w:rFonts w:hint="eastAsia"/>
          <w:color w:val="auto"/>
          <w:shd w:val="clear" w:color="auto" w:fill="FFFFFF"/>
        </w:rPr>
        <w:t>体育社会</w:t>
      </w:r>
      <w:r>
        <w:rPr>
          <w:rFonts w:hint="eastAsia"/>
          <w:color w:val="auto"/>
        </w:rPr>
        <w:t>团体</w:t>
      </w:r>
      <w:r>
        <w:rPr>
          <w:rFonts w:hint="eastAsia"/>
          <w:color w:val="auto"/>
          <w:shd w:val="clear" w:color="auto" w:fill="FFFFFF"/>
        </w:rPr>
        <w:t>开展赛事活动的申办、组织、服务、监管、法律责任等见《体育赛事活动管理办法》</w:t>
      </w:r>
      <w:r>
        <w:rPr>
          <w:rFonts w:hint="eastAsia"/>
          <w:color w:val="auto"/>
          <w:shd w:val="clear" w:color="auto" w:fill="FFFFFF"/>
          <w:lang w:eastAsia="zh-CN"/>
        </w:rPr>
        <w:t>《</w:t>
      </w:r>
      <w:r>
        <w:rPr>
          <w:rFonts w:hint="eastAsia"/>
          <w:color w:val="auto"/>
          <w:shd w:val="clear" w:color="auto" w:fill="FFFFFF"/>
        </w:rPr>
        <w:t>广东省体育赛事活动管理细则</w:t>
      </w:r>
      <w:r>
        <w:rPr>
          <w:rFonts w:hint="eastAsia"/>
          <w:color w:val="auto"/>
          <w:shd w:val="clear" w:color="auto" w:fill="FFFFFF"/>
          <w:lang w:eastAsia="zh-CN"/>
        </w:rPr>
        <w:t>》</w:t>
      </w:r>
      <w:r>
        <w:rPr>
          <w:rFonts w:hint="eastAsia"/>
          <w:color w:val="auto"/>
          <w:shd w:val="clear" w:color="auto" w:fill="FFFFFF"/>
        </w:rPr>
        <w:t>规定，规范赛场行为、对赛事活动进行监督管理见《体育总局 公安部关于加强体育赛场行为规范管理的若干意见》要求，其他赛事活动要求可按照参考文献或其他相关赛事相关文件执行。</w:t>
      </w:r>
    </w:p>
    <w:p w14:paraId="5F8D9812">
      <w:pPr>
        <w:pStyle w:val="174"/>
        <w:ind w:left="0"/>
        <w:rPr>
          <w:color w:val="auto"/>
          <w:shd w:val="clear" w:color="auto" w:fill="FFFFFF"/>
        </w:rPr>
      </w:pPr>
      <w:r>
        <w:rPr>
          <w:rFonts w:hint="eastAsia"/>
          <w:color w:val="auto"/>
          <w:shd w:val="clear" w:color="auto" w:fill="FFFFFF"/>
        </w:rPr>
        <w:t>体育社会</w:t>
      </w:r>
      <w:r>
        <w:rPr>
          <w:rFonts w:hint="eastAsia"/>
          <w:color w:val="auto"/>
        </w:rPr>
        <w:t>团体</w:t>
      </w:r>
      <w:r>
        <w:rPr>
          <w:rFonts w:hint="eastAsia"/>
          <w:color w:val="auto"/>
          <w:shd w:val="clear" w:color="auto" w:fill="FFFFFF"/>
        </w:rPr>
        <w:t>举办群众体育赛事活动的办赛指南、参赛指引应按</w:t>
      </w:r>
      <w:r>
        <w:rPr>
          <w:rFonts w:hint="eastAsia"/>
          <w:color w:val="auto"/>
          <w:shd w:val="clear" w:color="auto" w:fill="FFFFFF"/>
          <w:lang w:eastAsia="zh-Hans"/>
        </w:rPr>
        <w:t>TY/T 1</w:t>
      </w:r>
      <w:r>
        <w:rPr>
          <w:rFonts w:hint="eastAsia"/>
          <w:color w:val="auto"/>
          <w:shd w:val="clear" w:color="auto" w:fill="FFFFFF"/>
        </w:rPr>
        <w:t>1</w:t>
      </w:r>
      <w:r>
        <w:rPr>
          <w:rFonts w:hint="eastAsia"/>
          <w:color w:val="auto"/>
          <w:shd w:val="clear" w:color="auto" w:fill="FFFFFF"/>
          <w:lang w:eastAsia="zh-Hans"/>
        </w:rPr>
        <w:t>0</w:t>
      </w:r>
      <w:r>
        <w:rPr>
          <w:rFonts w:hint="eastAsia"/>
          <w:color w:val="auto"/>
          <w:shd w:val="clear" w:color="auto" w:fill="FFFFFF"/>
        </w:rPr>
        <w:t>3、</w:t>
      </w:r>
      <w:r>
        <w:rPr>
          <w:rFonts w:hint="eastAsia"/>
          <w:color w:val="auto"/>
          <w:shd w:val="clear" w:color="auto" w:fill="FFFFFF"/>
          <w:lang w:eastAsia="zh-Hans"/>
        </w:rPr>
        <w:t>TY/T 1</w:t>
      </w:r>
      <w:r>
        <w:rPr>
          <w:rFonts w:hint="eastAsia"/>
          <w:color w:val="auto"/>
          <w:shd w:val="clear" w:color="auto" w:fill="FFFFFF"/>
        </w:rPr>
        <w:t>1</w:t>
      </w:r>
      <w:r>
        <w:rPr>
          <w:rFonts w:hint="eastAsia"/>
          <w:color w:val="auto"/>
          <w:shd w:val="clear" w:color="auto" w:fill="FFFFFF"/>
          <w:lang w:eastAsia="zh-Hans"/>
        </w:rPr>
        <w:t>0</w:t>
      </w:r>
      <w:r>
        <w:rPr>
          <w:rFonts w:hint="eastAsia"/>
          <w:color w:val="auto"/>
          <w:shd w:val="clear" w:color="auto" w:fill="FFFFFF"/>
        </w:rPr>
        <w:t>4要求执行，安全评估技术、运营服务要求应按</w:t>
      </w:r>
      <w:r>
        <w:rPr>
          <w:rFonts w:hint="eastAsia"/>
          <w:color w:val="auto"/>
          <w:shd w:val="clear" w:color="auto" w:fill="FFFFFF"/>
          <w:lang w:eastAsia="zh-Hans"/>
        </w:rPr>
        <w:t>TY/T 1</w:t>
      </w:r>
      <w:r>
        <w:rPr>
          <w:rFonts w:hint="eastAsia"/>
          <w:color w:val="auto"/>
          <w:shd w:val="clear" w:color="auto" w:fill="FFFFFF"/>
        </w:rPr>
        <w:t>1</w:t>
      </w:r>
      <w:r>
        <w:rPr>
          <w:rFonts w:hint="eastAsia"/>
          <w:color w:val="auto"/>
          <w:shd w:val="clear" w:color="auto" w:fill="FFFFFF"/>
          <w:lang w:eastAsia="zh-Hans"/>
        </w:rPr>
        <w:t>0</w:t>
      </w:r>
      <w:r>
        <w:rPr>
          <w:rFonts w:hint="eastAsia"/>
          <w:color w:val="auto"/>
          <w:shd w:val="clear" w:color="auto" w:fill="FFFFFF"/>
        </w:rPr>
        <w:t>5、</w:t>
      </w:r>
      <w:r>
        <w:rPr>
          <w:rFonts w:hint="eastAsia"/>
          <w:color w:val="auto"/>
          <w:shd w:val="clear" w:color="auto" w:fill="FFFFFF"/>
          <w:lang w:eastAsia="zh-Hans"/>
        </w:rPr>
        <w:t>TY/T 1</w:t>
      </w:r>
      <w:r>
        <w:rPr>
          <w:rFonts w:hint="eastAsia"/>
          <w:color w:val="auto"/>
          <w:shd w:val="clear" w:color="auto" w:fill="FFFFFF"/>
        </w:rPr>
        <w:t>1</w:t>
      </w:r>
      <w:r>
        <w:rPr>
          <w:rFonts w:hint="eastAsia"/>
          <w:color w:val="auto"/>
          <w:shd w:val="clear" w:color="auto" w:fill="FFFFFF"/>
          <w:lang w:eastAsia="zh-Hans"/>
        </w:rPr>
        <w:t>0</w:t>
      </w:r>
      <w:r>
        <w:rPr>
          <w:rFonts w:hint="eastAsia"/>
          <w:color w:val="auto"/>
          <w:shd w:val="clear" w:color="auto" w:fill="FFFFFF"/>
        </w:rPr>
        <w:t>6要求执行。</w:t>
      </w:r>
    </w:p>
    <w:p w14:paraId="3D59C127">
      <w:pPr>
        <w:pStyle w:val="174"/>
        <w:ind w:left="0"/>
        <w:rPr>
          <w:color w:val="auto"/>
          <w:shd w:val="clear" w:color="auto" w:fill="FFFFFF"/>
        </w:rPr>
      </w:pPr>
      <w:r>
        <w:rPr>
          <w:rFonts w:hint="eastAsia"/>
          <w:color w:val="auto"/>
          <w:shd w:val="clear" w:color="auto" w:fill="FFFFFF"/>
        </w:rPr>
        <w:t>大型赛事活动的安全见《</w:t>
      </w:r>
      <w:r>
        <w:rPr>
          <w:color w:val="auto"/>
        </w:rPr>
        <w:t>大型群众性活动安全管理条例</w:t>
      </w:r>
      <w:r>
        <w:rPr>
          <w:rFonts w:hint="eastAsia"/>
          <w:color w:val="auto"/>
          <w:shd w:val="clear" w:color="auto" w:fill="FFFFFF"/>
        </w:rPr>
        <w:t>》《广东省大型群众性活动安全管理办法》相关要求。</w:t>
      </w:r>
    </w:p>
    <w:p w14:paraId="54841492">
      <w:pPr>
        <w:pStyle w:val="174"/>
        <w:ind w:left="0"/>
        <w:rPr>
          <w:color w:val="auto"/>
          <w:shd w:val="clear" w:color="auto" w:fill="FFFFFF"/>
        </w:rPr>
      </w:pPr>
      <w:r>
        <w:rPr>
          <w:rFonts w:hint="eastAsia"/>
          <w:color w:val="auto"/>
          <w:shd w:val="clear" w:color="auto" w:fill="FFFFFF"/>
        </w:rPr>
        <w:t>体育社会</w:t>
      </w:r>
      <w:r>
        <w:rPr>
          <w:rFonts w:hint="eastAsia"/>
          <w:color w:val="auto"/>
        </w:rPr>
        <w:t>团体</w:t>
      </w:r>
      <w:r>
        <w:rPr>
          <w:rFonts w:hint="eastAsia"/>
          <w:color w:val="auto"/>
          <w:shd w:val="clear" w:color="auto" w:fill="FFFFFF"/>
        </w:rPr>
        <w:t>将赛事活动委托其他单位承办或者协办的，应当加强指导和监督，不应仅以转包形式赚取差价，不应以任何形式向承办方或协办方收取费用。</w:t>
      </w:r>
    </w:p>
    <w:p w14:paraId="5CD68DA5">
      <w:pPr>
        <w:pStyle w:val="174"/>
        <w:ind w:left="0"/>
        <w:rPr>
          <w:color w:val="auto"/>
          <w:shd w:val="clear" w:color="auto" w:fill="FFFFFF"/>
        </w:rPr>
      </w:pPr>
      <w:r>
        <w:rPr>
          <w:rFonts w:hint="eastAsia"/>
          <w:color w:val="auto"/>
          <w:shd w:val="clear" w:color="auto" w:fill="FFFFFF"/>
        </w:rPr>
        <w:t>体育赛事活动安全监管服务工作见《关于进一步加强体育赛事活动安全监管服务的意见》《体育总局关于建立健全体育赛事活动“熔断”机制的通知》相关要求。</w:t>
      </w:r>
    </w:p>
    <w:p w14:paraId="16B62C62">
      <w:pPr>
        <w:pStyle w:val="174"/>
        <w:ind w:left="0"/>
        <w:rPr>
          <w:color w:val="auto"/>
          <w:shd w:val="clear" w:color="auto" w:fill="FFFFFF"/>
        </w:rPr>
      </w:pPr>
      <w:r>
        <w:rPr>
          <w:rFonts w:hint="eastAsia"/>
          <w:color w:val="auto"/>
          <w:shd w:val="clear" w:color="auto" w:fill="FFFFFF"/>
        </w:rPr>
        <w:t>体育社会</w:t>
      </w:r>
      <w:r>
        <w:rPr>
          <w:rFonts w:hint="eastAsia"/>
          <w:color w:val="auto"/>
        </w:rPr>
        <w:t>团体</w:t>
      </w:r>
      <w:r>
        <w:rPr>
          <w:rFonts w:hint="eastAsia"/>
          <w:color w:val="auto"/>
          <w:shd w:val="clear" w:color="auto" w:fill="FFFFFF"/>
        </w:rPr>
        <w:t>开展的全民健身活动相关要求见《全民健身条例》《广东省全民健身条例》</w:t>
      </w:r>
      <w:r>
        <w:rPr>
          <w:rFonts w:hint="eastAsia"/>
          <w:color w:val="auto"/>
          <w:shd w:val="clear" w:color="auto" w:fill="FFFFFF"/>
          <w:lang w:eastAsia="zh-CN"/>
        </w:rPr>
        <w:t>。</w:t>
      </w:r>
      <w:r>
        <w:rPr>
          <w:rFonts w:hint="eastAsia"/>
          <w:color w:val="auto"/>
          <w:shd w:val="clear" w:color="auto" w:fill="FFFFFF"/>
        </w:rPr>
        <w:t>全民健身类赛事活动应符合DB44 /T XXXX《全民健身赛事活动安全技术规范》的要求。</w:t>
      </w:r>
    </w:p>
    <w:p w14:paraId="07FFE3B5">
      <w:pPr>
        <w:pStyle w:val="174"/>
        <w:ind w:left="0"/>
        <w:rPr>
          <w:color w:val="auto"/>
          <w:shd w:val="clear" w:color="auto" w:fill="FFFFFF"/>
        </w:rPr>
      </w:pPr>
      <w:r>
        <w:rPr>
          <w:rFonts w:hint="eastAsia"/>
          <w:color w:val="auto"/>
          <w:shd w:val="clear" w:color="auto" w:fill="FFFFFF"/>
        </w:rPr>
        <w:t>体育社会</w:t>
      </w:r>
      <w:r>
        <w:rPr>
          <w:rFonts w:hint="eastAsia"/>
          <w:color w:val="auto"/>
        </w:rPr>
        <w:t>团体</w:t>
      </w:r>
      <w:r>
        <w:rPr>
          <w:rFonts w:hint="eastAsia"/>
          <w:color w:val="auto"/>
          <w:shd w:val="clear" w:color="auto" w:fill="FFFFFF"/>
        </w:rPr>
        <w:t>开展的竞技类赛事活动应符合相关竞赛规则要求。</w:t>
      </w:r>
    </w:p>
    <w:p w14:paraId="203E009F">
      <w:pPr>
        <w:pStyle w:val="174"/>
        <w:ind w:left="0"/>
        <w:rPr>
          <w:color w:val="auto"/>
          <w:shd w:val="clear" w:color="auto" w:fill="FFFFFF"/>
        </w:rPr>
      </w:pPr>
      <w:r>
        <w:rPr>
          <w:rFonts w:hint="eastAsia"/>
          <w:color w:val="auto"/>
          <w:shd w:val="clear" w:color="auto" w:fill="FFFFFF"/>
        </w:rPr>
        <w:t>体育社会</w:t>
      </w:r>
      <w:r>
        <w:rPr>
          <w:rFonts w:hint="eastAsia"/>
          <w:color w:val="auto"/>
        </w:rPr>
        <w:t>团体</w:t>
      </w:r>
      <w:r>
        <w:rPr>
          <w:rFonts w:hint="eastAsia"/>
          <w:color w:val="auto"/>
          <w:shd w:val="clear" w:color="auto" w:fill="FFFFFF"/>
        </w:rPr>
        <w:t>应对会员单位进行赛事活动的监管。</w:t>
      </w:r>
    </w:p>
    <w:p w14:paraId="2E5E9850">
      <w:pPr>
        <w:pStyle w:val="174"/>
        <w:ind w:left="0"/>
        <w:rPr>
          <w:color w:val="auto"/>
          <w:shd w:val="clear" w:color="auto" w:fill="FFFFFF"/>
        </w:rPr>
      </w:pPr>
      <w:r>
        <w:rPr>
          <w:rFonts w:hint="eastAsia"/>
          <w:color w:val="auto"/>
          <w:shd w:val="clear" w:color="auto" w:fill="FFFFFF"/>
        </w:rPr>
        <w:t>体育赛事活动赛风赛纪要求见《体育赛事活动赛风赛纪管理办法》。项目管理中心、单项体育协会按照《体育赛事活动赛风赛纪管理办法》和相应章程负责所辖项目的赛风赛纪管理工作。对发生赛风赛纪违规的运动员、教练员等，根据情节轻重，由单项体育协会根据章程、竞赛规程规则等作出处理。</w:t>
      </w:r>
    </w:p>
    <w:p w14:paraId="47996317">
      <w:pPr>
        <w:pStyle w:val="174"/>
        <w:ind w:left="0"/>
        <w:rPr>
          <w:color w:val="auto"/>
          <w:shd w:val="clear" w:color="auto" w:fill="FFFFFF"/>
        </w:rPr>
      </w:pPr>
      <w:r>
        <w:rPr>
          <w:rFonts w:hint="eastAsia"/>
          <w:color w:val="auto"/>
          <w:shd w:val="clear" w:color="auto" w:fill="FFFFFF"/>
        </w:rPr>
        <w:t>体育社会</w:t>
      </w:r>
      <w:r>
        <w:rPr>
          <w:rFonts w:hint="eastAsia"/>
          <w:color w:val="auto"/>
        </w:rPr>
        <w:t>团体</w:t>
      </w:r>
      <w:r>
        <w:rPr>
          <w:rFonts w:hint="eastAsia"/>
          <w:color w:val="auto"/>
          <w:shd w:val="clear" w:color="auto" w:fill="FFFFFF"/>
        </w:rPr>
        <w:t>经营高危险性体育项目的要求见《经营高危险性体育项目许可管理办法》《广东省高危险性体育项目经营活动管理规定》。</w:t>
      </w:r>
    </w:p>
    <w:p w14:paraId="458C29C0">
      <w:pPr>
        <w:pStyle w:val="75"/>
        <w:spacing w:before="156" w:after="156"/>
        <w:ind w:left="0"/>
        <w:rPr>
          <w:rFonts w:hint="eastAsia"/>
          <w:color w:val="auto"/>
        </w:rPr>
      </w:pPr>
      <w:bookmarkStart w:id="97" w:name="_Toc32761"/>
      <w:bookmarkStart w:id="98" w:name="_Toc24059"/>
      <w:r>
        <w:rPr>
          <w:rFonts w:hint="eastAsia"/>
          <w:color w:val="auto"/>
        </w:rPr>
        <w:t>交流合作</w:t>
      </w:r>
      <w:bookmarkEnd w:id="97"/>
      <w:bookmarkEnd w:id="98"/>
    </w:p>
    <w:p w14:paraId="02F0D933">
      <w:pPr>
        <w:pStyle w:val="174"/>
        <w:ind w:left="0"/>
        <w:rPr>
          <w:color w:val="auto"/>
          <w:shd w:val="clear" w:color="auto" w:fill="FFFFFF"/>
        </w:rPr>
      </w:pPr>
      <w:r>
        <w:rPr>
          <w:rFonts w:hint="eastAsia"/>
          <w:color w:val="auto"/>
          <w:shd w:val="clear" w:color="auto" w:fill="FFFFFF"/>
        </w:rPr>
        <w:t>体育社会</w:t>
      </w:r>
      <w:r>
        <w:rPr>
          <w:rFonts w:hint="eastAsia"/>
          <w:color w:val="auto"/>
        </w:rPr>
        <w:t>团体</w:t>
      </w:r>
      <w:r>
        <w:rPr>
          <w:rFonts w:hint="eastAsia"/>
          <w:color w:val="auto"/>
          <w:shd w:val="clear" w:color="auto" w:fill="FFFFFF"/>
        </w:rPr>
        <w:t>开展合作活动应签订书面合作协议，明确各方权利、义务，并切实履行职责。</w:t>
      </w:r>
    </w:p>
    <w:p w14:paraId="51321EF1">
      <w:pPr>
        <w:pStyle w:val="174"/>
        <w:ind w:left="0"/>
        <w:rPr>
          <w:color w:val="auto"/>
          <w:shd w:val="clear" w:color="auto" w:fill="FFFFFF"/>
        </w:rPr>
      </w:pPr>
      <w:r>
        <w:rPr>
          <w:rFonts w:hint="eastAsia"/>
          <w:color w:val="auto"/>
          <w:shd w:val="clear" w:color="auto" w:fill="FFFFFF"/>
        </w:rPr>
        <w:t>体育社会</w:t>
      </w:r>
      <w:r>
        <w:rPr>
          <w:rFonts w:hint="eastAsia"/>
          <w:color w:val="auto"/>
        </w:rPr>
        <w:t>团体</w:t>
      </w:r>
      <w:r>
        <w:rPr>
          <w:rFonts w:hint="eastAsia"/>
          <w:color w:val="auto"/>
          <w:shd w:val="clear" w:color="auto" w:fill="FFFFFF"/>
        </w:rPr>
        <w:t>开展合作活动应对合作方的资质、能力、信用等进行甄别考察，对合作协议内容进行风险评估，对合作项目全程监督。</w:t>
      </w:r>
    </w:p>
    <w:p w14:paraId="5B91264F">
      <w:pPr>
        <w:pStyle w:val="174"/>
        <w:ind w:left="0"/>
        <w:rPr>
          <w:color w:val="auto"/>
        </w:rPr>
      </w:pPr>
      <w:r>
        <w:rPr>
          <w:rFonts w:hint="eastAsia"/>
          <w:color w:val="auto"/>
        </w:rPr>
        <w:t>体育社会团体宜增强与</w:t>
      </w:r>
      <w:r>
        <w:rPr>
          <w:color w:val="auto"/>
        </w:rPr>
        <w:t>本地区</w:t>
      </w:r>
      <w:r>
        <w:rPr>
          <w:rFonts w:hint="eastAsia"/>
          <w:color w:val="auto"/>
        </w:rPr>
        <w:t>及下一级其他相关</w:t>
      </w:r>
      <w:r>
        <w:rPr>
          <w:color w:val="auto"/>
        </w:rPr>
        <w:t>社会组织</w:t>
      </w:r>
      <w:r>
        <w:rPr>
          <w:rFonts w:hint="eastAsia"/>
          <w:color w:val="auto"/>
        </w:rPr>
        <w:t>开展</w:t>
      </w:r>
      <w:r>
        <w:rPr>
          <w:color w:val="auto"/>
        </w:rPr>
        <w:t>合作交流</w:t>
      </w:r>
      <w:r>
        <w:rPr>
          <w:rFonts w:hint="eastAsia"/>
          <w:color w:val="auto"/>
        </w:rPr>
        <w:t>工作。</w:t>
      </w:r>
    </w:p>
    <w:p w14:paraId="6795B5F4">
      <w:pPr>
        <w:pStyle w:val="75"/>
        <w:spacing w:before="156" w:after="156"/>
        <w:ind w:left="0"/>
        <w:rPr>
          <w:rFonts w:hint="eastAsia"/>
          <w:color w:val="auto"/>
        </w:rPr>
      </w:pPr>
      <w:bookmarkStart w:id="99" w:name="_Toc30929"/>
      <w:r>
        <w:rPr>
          <w:rFonts w:hint="eastAsia"/>
          <w:color w:val="auto"/>
        </w:rPr>
        <w:t>社会互动</w:t>
      </w:r>
      <w:bookmarkEnd w:id="99"/>
    </w:p>
    <w:p w14:paraId="25FC77EA">
      <w:pPr>
        <w:pStyle w:val="174"/>
        <w:ind w:left="0"/>
        <w:rPr>
          <w:color w:val="auto"/>
        </w:rPr>
      </w:pPr>
      <w:r>
        <w:rPr>
          <w:rFonts w:hint="eastAsia"/>
          <w:color w:val="auto"/>
        </w:rPr>
        <w:t>建立公众了解和参与</w:t>
      </w:r>
      <w:r>
        <w:rPr>
          <w:rFonts w:hint="eastAsia"/>
          <w:color w:val="auto"/>
          <w:shd w:val="clear" w:color="auto" w:fill="FFFFFF"/>
        </w:rPr>
        <w:t>体育社会</w:t>
      </w:r>
      <w:r>
        <w:rPr>
          <w:rFonts w:hint="eastAsia"/>
          <w:color w:val="auto"/>
        </w:rPr>
        <w:t>团体项目及活动的便捷</w:t>
      </w:r>
      <w:r>
        <w:rPr>
          <w:color w:val="auto"/>
        </w:rPr>
        <w:t>渠道，增进公众对本单位的认知和信任</w:t>
      </w:r>
      <w:r>
        <w:rPr>
          <w:rFonts w:hint="eastAsia"/>
          <w:color w:val="auto"/>
        </w:rPr>
        <w:t>。</w:t>
      </w:r>
    </w:p>
    <w:p w14:paraId="500D1DE4">
      <w:pPr>
        <w:pStyle w:val="174"/>
        <w:ind w:left="0"/>
        <w:rPr>
          <w:color w:val="auto"/>
        </w:rPr>
      </w:pPr>
      <w:r>
        <w:rPr>
          <w:rFonts w:hint="eastAsia"/>
          <w:color w:val="auto"/>
        </w:rPr>
        <w:t>结合本单位具体领域，积极促进社会各界关注，获</w:t>
      </w:r>
      <w:r>
        <w:rPr>
          <w:color w:val="auto"/>
        </w:rPr>
        <w:t>得各方支持，为工作开展创造良好环境</w:t>
      </w:r>
      <w:r>
        <w:rPr>
          <w:rFonts w:hint="eastAsia"/>
          <w:color w:val="auto"/>
        </w:rPr>
        <w:t>。</w:t>
      </w:r>
      <w:r>
        <w:rPr>
          <w:color w:val="auto"/>
        </w:rPr>
        <w:t xml:space="preserve"> </w:t>
      </w:r>
    </w:p>
    <w:p w14:paraId="121D6A0F">
      <w:pPr>
        <w:pStyle w:val="174"/>
        <w:ind w:left="0"/>
        <w:rPr>
          <w:color w:val="auto"/>
        </w:rPr>
      </w:pPr>
      <w:r>
        <w:rPr>
          <w:color w:val="auto"/>
        </w:rPr>
        <w:t>结合自身工作领域和工作能力，积极组织本单位员工及会员参与乡村振兴、扶贫济困等公益活动，在履行社会责任、承担公共服务、提供智力支持、实施帮扶项目、协助科学决策等方面主动作为</w:t>
      </w:r>
      <w:r>
        <w:rPr>
          <w:rFonts w:hint="eastAsia"/>
          <w:color w:val="auto"/>
        </w:rPr>
        <w:t>。</w:t>
      </w:r>
    </w:p>
    <w:p w14:paraId="367D36F2">
      <w:pPr>
        <w:pStyle w:val="174"/>
        <w:ind w:left="0"/>
        <w:rPr>
          <w:color w:val="auto"/>
        </w:rPr>
      </w:pPr>
      <w:r>
        <w:rPr>
          <w:rFonts w:hint="eastAsia"/>
          <w:color w:val="auto"/>
        </w:rPr>
        <w:t xml:space="preserve">加强与政府部门配合，积极协同政府落实有关政策。 </w:t>
      </w:r>
      <w:r>
        <w:rPr>
          <w:color w:val="auto"/>
        </w:rPr>
        <w:t>提升承接购买服务能力，与政府形成合力促进经济社会发展</w:t>
      </w:r>
      <w:r>
        <w:rPr>
          <w:rFonts w:hint="eastAsia"/>
          <w:color w:val="auto"/>
        </w:rPr>
        <w:t>。</w:t>
      </w:r>
    </w:p>
    <w:p w14:paraId="5207E03D">
      <w:pPr>
        <w:pStyle w:val="174"/>
        <w:ind w:left="0"/>
        <w:rPr>
          <w:color w:val="auto"/>
        </w:rPr>
      </w:pPr>
      <w:r>
        <w:rPr>
          <w:rFonts w:hint="eastAsia"/>
          <w:color w:val="auto"/>
        </w:rPr>
        <w:t>根据自身需要，与政府、媒体、企事业单位、科研院</w:t>
      </w:r>
      <w:r>
        <w:rPr>
          <w:color w:val="auto"/>
        </w:rPr>
        <w:t>所、社区、其他社会组织等之间建立良好的伙伴关系</w:t>
      </w:r>
      <w:r>
        <w:rPr>
          <w:rFonts w:hint="eastAsia"/>
          <w:color w:val="auto"/>
        </w:rPr>
        <w:t>。</w:t>
      </w:r>
    </w:p>
    <w:p w14:paraId="698A9B7F">
      <w:pPr>
        <w:pStyle w:val="66"/>
        <w:rPr>
          <w:rFonts w:hint="eastAsia"/>
          <w:color w:val="auto"/>
        </w:rPr>
      </w:pPr>
    </w:p>
    <w:p w14:paraId="7D484816">
      <w:pPr>
        <w:pStyle w:val="75"/>
        <w:spacing w:before="156" w:after="156"/>
        <w:ind w:left="0"/>
        <w:rPr>
          <w:rFonts w:hint="default"/>
          <w:color w:val="auto"/>
          <w:lang w:val="en-US" w:eastAsia="zh-CN"/>
        </w:rPr>
      </w:pPr>
      <w:bookmarkStart w:id="100" w:name="_Toc11023"/>
      <w:r>
        <w:rPr>
          <w:rFonts w:hint="eastAsia"/>
          <w:color w:val="auto"/>
          <w:lang w:val="en-US" w:eastAsia="zh-CN"/>
        </w:rPr>
        <w:t>项目管理</w:t>
      </w:r>
      <w:bookmarkEnd w:id="100"/>
    </w:p>
    <w:p w14:paraId="1FDDD0A0">
      <w:pPr>
        <w:pStyle w:val="174"/>
        <w:ind w:left="0"/>
        <w:rPr>
          <w:rFonts w:hint="default"/>
          <w:color w:val="auto"/>
          <w:shd w:val="clear" w:color="auto" w:fill="FFFFFF"/>
          <w:lang w:val="en-US" w:eastAsia="zh-CN"/>
        </w:rPr>
      </w:pPr>
      <w:r>
        <w:rPr>
          <w:rFonts w:hint="eastAsia"/>
          <w:color w:val="auto"/>
          <w:shd w:val="clear" w:color="auto" w:fill="FFFFFF"/>
          <w:lang w:val="en-US" w:eastAsia="zh-CN"/>
        </w:rPr>
        <w:t>建立项目管理制度，项目运作事先有论证和计划，履行报批手续。</w:t>
      </w:r>
    </w:p>
    <w:p w14:paraId="0810783E">
      <w:pPr>
        <w:pStyle w:val="174"/>
        <w:ind w:left="0"/>
        <w:rPr>
          <w:rFonts w:hint="default"/>
          <w:color w:val="auto"/>
          <w:shd w:val="clear" w:color="auto" w:fill="FFFFFF"/>
          <w:lang w:val="en-US" w:eastAsia="zh-CN"/>
        </w:rPr>
      </w:pPr>
      <w:r>
        <w:rPr>
          <w:rFonts w:hint="eastAsia"/>
          <w:color w:val="auto"/>
          <w:shd w:val="clear" w:color="auto" w:fill="FFFFFF"/>
          <w:lang w:val="en-US" w:eastAsia="zh-CN"/>
        </w:rPr>
        <w:t>制定项目方案，内容不限于项目团队管理、合同管理、进度管理、成效管理、财务管理、档案管理、风险管理等；应按照项目方案及项目合同书的要求按时高效完成工作，且社会效益与项目开展初衷一致。</w:t>
      </w:r>
    </w:p>
    <w:p w14:paraId="2F663E87">
      <w:pPr>
        <w:pStyle w:val="174"/>
        <w:ind w:left="0"/>
        <w:rPr>
          <w:rFonts w:hint="default"/>
          <w:color w:val="auto"/>
          <w:shd w:val="clear" w:color="auto" w:fill="FFFFFF"/>
          <w:lang w:val="en-US" w:eastAsia="zh-CN"/>
        </w:rPr>
      </w:pPr>
      <w:r>
        <w:rPr>
          <w:rFonts w:hint="eastAsia"/>
          <w:color w:val="auto"/>
          <w:shd w:val="clear" w:color="auto" w:fill="FFFFFF"/>
          <w:lang w:val="en-US" w:eastAsia="zh-CN"/>
        </w:rPr>
        <w:t>对项目运行及时进行监督，反馈项目运行情况；重大项目完成后有总结和项目评估。</w:t>
      </w:r>
    </w:p>
    <w:p w14:paraId="65B7F4DA">
      <w:pPr>
        <w:pStyle w:val="174"/>
        <w:ind w:left="0"/>
        <w:rPr>
          <w:rFonts w:hint="default"/>
          <w:color w:val="auto"/>
          <w:shd w:val="clear" w:color="auto" w:fill="FFFFFF"/>
          <w:lang w:val="en-US" w:eastAsia="zh-CN"/>
        </w:rPr>
      </w:pPr>
      <w:r>
        <w:rPr>
          <w:rFonts w:hint="eastAsia"/>
          <w:color w:val="auto"/>
          <w:shd w:val="clear" w:color="auto" w:fill="FFFFFF"/>
          <w:lang w:val="en-US" w:eastAsia="zh-CN"/>
        </w:rPr>
        <w:t>在项目进行过程中，应主动维护服务对象的权益并建立相应的投诉渠道，主动收集服务对象对项目的综合评价；应建立服务对象的服务跟踪和管理。</w:t>
      </w:r>
      <w:r>
        <w:rPr>
          <w:rFonts w:hint="eastAsia"/>
          <w:color w:val="auto"/>
          <w:shd w:val="clear" w:color="auto" w:fill="FFFFFF"/>
        </w:rPr>
        <w:t xml:space="preserve"> </w:t>
      </w:r>
    </w:p>
    <w:p w14:paraId="20E53AFC">
      <w:pPr>
        <w:pStyle w:val="75"/>
        <w:spacing w:before="156" w:after="156"/>
        <w:ind w:left="0"/>
        <w:rPr>
          <w:rFonts w:hint="eastAsia"/>
          <w:color w:val="auto"/>
        </w:rPr>
      </w:pPr>
      <w:bookmarkStart w:id="101" w:name="_Toc17536"/>
      <w:bookmarkStart w:id="102" w:name="_Toc15168"/>
      <w:r>
        <w:rPr>
          <w:rFonts w:hint="eastAsia"/>
          <w:color w:val="auto"/>
        </w:rPr>
        <w:t>会员管理</w:t>
      </w:r>
      <w:bookmarkEnd w:id="101"/>
      <w:bookmarkEnd w:id="102"/>
    </w:p>
    <w:p w14:paraId="7AA8B729">
      <w:pPr>
        <w:pStyle w:val="174"/>
        <w:ind w:left="0"/>
        <w:rPr>
          <w:rFonts w:hint="eastAsia"/>
          <w:color w:val="auto"/>
          <w:shd w:val="clear" w:color="auto" w:fill="FFFFFF"/>
        </w:rPr>
      </w:pPr>
      <w:r>
        <w:rPr>
          <w:rFonts w:hint="eastAsia"/>
          <w:color w:val="auto"/>
          <w:shd w:val="clear" w:color="auto" w:fill="FFFFFF"/>
        </w:rPr>
        <w:t xml:space="preserve">建立包含会员入会退会、会员信息档案管理、会员联络、会员服务、会费收取等内容的会员管理体系。 </w:t>
      </w:r>
    </w:p>
    <w:p w14:paraId="3182A8ED">
      <w:pPr>
        <w:pStyle w:val="174"/>
        <w:ind w:left="0"/>
        <w:rPr>
          <w:rFonts w:hint="eastAsia"/>
          <w:color w:val="auto"/>
          <w:shd w:val="clear" w:color="auto" w:fill="FFFFFF"/>
        </w:rPr>
      </w:pPr>
      <w:r>
        <w:rPr>
          <w:rFonts w:hint="eastAsia"/>
          <w:color w:val="auto"/>
          <w:shd w:val="clear" w:color="auto" w:fill="FFFFFF"/>
        </w:rPr>
        <w:t xml:space="preserve">建立会员管理制度，建设会员数据库，依据入会、退会和会费缴纳情况及时更新相关信息，进行会员动态管理。 </w:t>
      </w:r>
    </w:p>
    <w:p w14:paraId="56E31113">
      <w:pPr>
        <w:pStyle w:val="174"/>
        <w:ind w:left="0"/>
        <w:rPr>
          <w:rFonts w:hint="eastAsia"/>
          <w:color w:val="auto"/>
          <w:shd w:val="clear" w:color="auto" w:fill="FFFFFF"/>
        </w:rPr>
      </w:pPr>
      <w:r>
        <w:rPr>
          <w:rFonts w:hint="eastAsia"/>
          <w:color w:val="auto"/>
          <w:shd w:val="clear" w:color="auto" w:fill="FFFFFF"/>
        </w:rPr>
        <w:t>明确为会员提供的基本服务项目。 根据会员需要和行业特点及发展状况，为会员提供形式多样、内容丰富、效果显著的会员服务。</w:t>
      </w:r>
      <w:r>
        <w:rPr>
          <w:rFonts w:hint="eastAsia"/>
          <w:color w:val="auto"/>
          <w:shd w:val="clear" w:color="auto" w:fill="FFFFFF"/>
          <w:lang w:val="en-US" w:eastAsia="zh-CN"/>
        </w:rPr>
        <w:t>不应</w:t>
      </w:r>
      <w:r>
        <w:rPr>
          <w:rFonts w:hint="eastAsia"/>
          <w:color w:val="auto"/>
          <w:shd w:val="clear" w:color="auto" w:fill="FFFFFF"/>
        </w:rPr>
        <w:t>阻碍或者变相阻碍会员退会。</w:t>
      </w:r>
    </w:p>
    <w:p w14:paraId="458DD31A">
      <w:pPr>
        <w:pStyle w:val="174"/>
        <w:ind w:left="0"/>
        <w:rPr>
          <w:rFonts w:hint="eastAsia"/>
          <w:color w:val="auto"/>
          <w:shd w:val="clear" w:color="auto" w:fill="FFFFFF"/>
        </w:rPr>
      </w:pPr>
      <w:r>
        <w:rPr>
          <w:rFonts w:hint="eastAsia"/>
          <w:color w:val="auto"/>
          <w:shd w:val="clear" w:color="auto" w:fill="FFFFFF"/>
        </w:rPr>
        <w:t>按照法律法规和章程规定，合理、自主确定会费标准和档次，并经会员（代表）大会以无记名投票方式表决通过。 经会员（代表）大会表决通过也可作出不收取会费的决议。严格按照本单位确定的会费标准收取会费，并留存原始统计资料及账簿。</w:t>
      </w:r>
    </w:p>
    <w:p w14:paraId="02F4B99D">
      <w:pPr>
        <w:pStyle w:val="174"/>
        <w:ind w:left="0"/>
        <w:rPr>
          <w:rFonts w:hint="eastAsia"/>
          <w:color w:val="auto"/>
          <w:shd w:val="clear" w:color="auto" w:fill="FFFFFF"/>
        </w:rPr>
      </w:pPr>
      <w:r>
        <w:rPr>
          <w:rFonts w:hint="eastAsia"/>
          <w:color w:val="auto"/>
          <w:shd w:val="clear" w:color="auto" w:fill="FFFFFF"/>
        </w:rPr>
        <w:t>积极落实国家减税降费决策部署，经理事会（常务理事会）或本会有关工作会议批准免除经营困难企业或中小微企业会员会费的，在计算收取率时可调增已缴纳会费的会员数量。</w:t>
      </w:r>
    </w:p>
    <w:p w14:paraId="4467C44E">
      <w:pPr>
        <w:pStyle w:val="115"/>
        <w:spacing w:before="156" w:after="156"/>
        <w:ind w:left="0"/>
        <w:rPr>
          <w:color w:val="auto"/>
        </w:rPr>
      </w:pPr>
      <w:bookmarkStart w:id="103" w:name="_Toc18527"/>
      <w:bookmarkStart w:id="104" w:name="_Toc11074"/>
      <w:r>
        <w:rPr>
          <w:rFonts w:hint="eastAsia"/>
          <w:color w:val="auto"/>
        </w:rPr>
        <w:t>财务管理</w:t>
      </w:r>
      <w:bookmarkEnd w:id="103"/>
      <w:bookmarkEnd w:id="104"/>
    </w:p>
    <w:p w14:paraId="09068E7A">
      <w:pPr>
        <w:pStyle w:val="175"/>
        <w:ind w:left="0"/>
        <w:rPr>
          <w:color w:val="auto"/>
        </w:rPr>
      </w:pPr>
      <w:r>
        <w:rPr>
          <w:rFonts w:hint="eastAsia"/>
          <w:color w:val="auto"/>
        </w:rPr>
        <w:t>体育社会团体的收入管理、支出管理、财产物资管理、财务管理与监督、处罚要求见《</w:t>
      </w:r>
      <w:r>
        <w:rPr>
          <w:rFonts w:hint="eastAsia"/>
          <w:color w:val="auto"/>
          <w:shd w:val="clear" w:color="auto" w:fill="FFFFFF"/>
        </w:rPr>
        <w:t>广东省社会团体财务管理办法</w:t>
      </w:r>
      <w:r>
        <w:rPr>
          <w:rFonts w:hint="eastAsia"/>
          <w:color w:val="auto"/>
        </w:rPr>
        <w:t>》。</w:t>
      </w:r>
    </w:p>
    <w:p w14:paraId="22DBBEA6">
      <w:pPr>
        <w:pStyle w:val="175"/>
        <w:ind w:left="0"/>
        <w:rPr>
          <w:color w:val="auto"/>
        </w:rPr>
      </w:pPr>
      <w:r>
        <w:rPr>
          <w:rFonts w:hint="eastAsia"/>
          <w:color w:val="auto"/>
        </w:rPr>
        <w:t>体育社会团体应当</w:t>
      </w:r>
      <w:r>
        <w:rPr>
          <w:rFonts w:hint="eastAsia" w:hAnsi="宋体" w:cs="宋体"/>
          <w:color w:val="auto"/>
          <w:sz w:val="22"/>
          <w:szCs w:val="22"/>
          <w:lang w:bidi="ar"/>
        </w:rPr>
        <w:t>在住所、服务场地的醒目位置以及门户网站、微信公众号等公示收费项目、收费性质、服务内容、收费标准及依据等信息，便于社会公众获取或了解</w:t>
      </w:r>
      <w:r>
        <w:rPr>
          <w:rFonts w:hint="eastAsia"/>
          <w:color w:val="auto"/>
        </w:rPr>
        <w:t>。</w:t>
      </w:r>
    </w:p>
    <w:p w14:paraId="41C13AAD">
      <w:pPr>
        <w:pStyle w:val="175"/>
        <w:ind w:left="0"/>
        <w:rPr>
          <w:color w:val="auto"/>
        </w:rPr>
      </w:pPr>
      <w:r>
        <w:rPr>
          <w:rFonts w:hint="eastAsia"/>
          <w:color w:val="auto"/>
          <w:shd w:val="clear" w:color="auto" w:fill="FFFFFF"/>
        </w:rPr>
        <w:t>会费收入、接受捐赠的款项和实物资产、有偿服务收入、投资收益等收入，应纳入单位财务部门统一核算和管理，并按照章程要求进行信息公开。</w:t>
      </w:r>
    </w:p>
    <w:p w14:paraId="2B59ABEE">
      <w:pPr>
        <w:pStyle w:val="175"/>
        <w:ind w:left="0"/>
        <w:rPr>
          <w:color w:val="auto"/>
        </w:rPr>
      </w:pPr>
      <w:r>
        <w:rPr>
          <w:rFonts w:hint="eastAsia"/>
          <w:color w:val="auto"/>
        </w:rPr>
        <w:t>体育社会团体的收费主要包括会费、行政事业性收费、经营服务性收费和其他收费，要求如下：</w:t>
      </w:r>
    </w:p>
    <w:p w14:paraId="56B6AE5F">
      <w:pPr>
        <w:pStyle w:val="184"/>
        <w:numPr>
          <w:ilvl w:val="0"/>
          <w:numId w:val="39"/>
        </w:numPr>
        <w:rPr>
          <w:color w:val="auto"/>
        </w:rPr>
      </w:pPr>
      <w:r>
        <w:rPr>
          <w:rFonts w:hint="eastAsia"/>
          <w:color w:val="auto"/>
        </w:rPr>
        <w:t>体育社会团体应当依据章程规定的业务范围、工作成本等因素，结合行业和会员实际，合理确定会费标准和档次，同一会费档次不应细分不同收费标准；</w:t>
      </w:r>
    </w:p>
    <w:p w14:paraId="04CFB126">
      <w:pPr>
        <w:pStyle w:val="184"/>
        <w:numPr>
          <w:ilvl w:val="0"/>
          <w:numId w:val="39"/>
        </w:numPr>
        <w:rPr>
          <w:color w:val="auto"/>
        </w:rPr>
      </w:pPr>
      <w:r>
        <w:rPr>
          <w:rFonts w:hint="eastAsia"/>
          <w:color w:val="auto"/>
        </w:rPr>
        <w:t>体育社会团体依据法律、行政法规等代行政府职能收取的费用，已按规定纳入行政事业性收费目录清单管理的，应根据对应行政事业性收费的管理权限，严格按照国务院和省级人民政府及其财政、价格主管部门的规定执行，任何单位和个人不应违反规定设立行政事业性收费项目或者设定行政事业性收费的征收对象、范围、标准和期限；</w:t>
      </w:r>
    </w:p>
    <w:p w14:paraId="6580B650">
      <w:pPr>
        <w:pStyle w:val="184"/>
        <w:numPr>
          <w:ilvl w:val="0"/>
          <w:numId w:val="39"/>
        </w:numPr>
        <w:rPr>
          <w:color w:val="auto"/>
        </w:rPr>
      </w:pPr>
      <w:r>
        <w:rPr>
          <w:rFonts w:hint="eastAsia"/>
          <w:color w:val="auto"/>
        </w:rPr>
        <w:t>体育社会团体应按照法律法规关于经营者的相关规定和自愿、有偿、质价相符的原则，在章程规定的业务范围内开展信息咨询、培训、评价、展览、销售报刊等服务，其收费作为经营服务性收费实行市场调节价</w:t>
      </w:r>
      <w:r>
        <w:rPr>
          <w:rFonts w:hint="eastAsia"/>
          <w:color w:val="auto"/>
          <w:lang w:eastAsia="zh-CN"/>
        </w:rPr>
        <w:t>，</w:t>
      </w:r>
      <w:r>
        <w:rPr>
          <w:rFonts w:hint="eastAsia"/>
          <w:color w:val="auto"/>
        </w:rPr>
        <w:t>经营服务性收费</w:t>
      </w:r>
      <w:r>
        <w:rPr>
          <w:rFonts w:hint="eastAsia"/>
          <w:color w:val="auto"/>
          <w:lang w:val="en-US" w:eastAsia="zh-CN"/>
        </w:rPr>
        <w:t>要求如下：</w:t>
      </w:r>
    </w:p>
    <w:p w14:paraId="04E78BCB">
      <w:pPr>
        <w:pStyle w:val="119"/>
        <w:numPr>
          <w:ilvl w:val="1"/>
          <w:numId w:val="40"/>
        </w:numPr>
        <w:rPr>
          <w:rFonts w:hint="eastAsia"/>
          <w:color w:val="auto"/>
        </w:rPr>
      </w:pPr>
      <w:r>
        <w:rPr>
          <w:rFonts w:hint="eastAsia"/>
          <w:color w:val="auto"/>
          <w:lang w:val="en-US" w:eastAsia="zh-CN"/>
        </w:rPr>
        <w:t>对具有一定垄断性和强制性的经营服务性收费项目，通过放宽准入</w:t>
      </w:r>
      <w:r>
        <w:rPr>
          <w:rFonts w:hint="default"/>
          <w:color w:val="auto"/>
          <w:lang w:val="en-US" w:eastAsia="zh-CN"/>
        </w:rPr>
        <w:t>条件、引入多元化服务主体等方式破除垄断</w:t>
      </w:r>
      <w:r>
        <w:rPr>
          <w:rFonts w:hint="eastAsia"/>
          <w:color w:val="auto"/>
          <w:lang w:val="en-US" w:eastAsia="zh-CN"/>
        </w:rPr>
        <w:t>。</w:t>
      </w:r>
      <w:r>
        <w:rPr>
          <w:rFonts w:hint="default"/>
          <w:color w:val="auto"/>
          <w:lang w:val="en-US" w:eastAsia="zh-CN"/>
        </w:rPr>
        <w:t xml:space="preserve">暂时无法破除垄断的，按照合法合理、弥补成本、略有盈余的原则确定收费标准，并经会员（代表）大会或理事会以无记名投票方式表决通过； </w:t>
      </w:r>
    </w:p>
    <w:p w14:paraId="17F00881">
      <w:pPr>
        <w:pStyle w:val="119"/>
        <w:numPr>
          <w:ilvl w:val="1"/>
          <w:numId w:val="40"/>
        </w:numPr>
        <w:rPr>
          <w:rFonts w:hint="eastAsia"/>
          <w:color w:val="auto"/>
        </w:rPr>
      </w:pPr>
      <w:r>
        <w:rPr>
          <w:rFonts w:hint="default"/>
          <w:color w:val="auto"/>
          <w:lang w:val="en-US" w:eastAsia="zh-CN"/>
        </w:rPr>
        <w:t xml:space="preserve">对市场调节价格的收费项目，在合法合理前提下，根据服务成本、市场需求和当地经济发展水平等因素确定收费标准，并向社会公示； </w:t>
      </w:r>
    </w:p>
    <w:p w14:paraId="028599C4">
      <w:pPr>
        <w:pStyle w:val="119"/>
        <w:numPr>
          <w:ilvl w:val="1"/>
          <w:numId w:val="40"/>
        </w:numPr>
        <w:rPr>
          <w:rFonts w:hint="eastAsia"/>
          <w:color w:val="auto"/>
        </w:rPr>
      </w:pPr>
      <w:r>
        <w:rPr>
          <w:rFonts w:hint="default"/>
          <w:color w:val="auto"/>
          <w:lang w:val="en-US" w:eastAsia="zh-CN"/>
        </w:rPr>
        <w:t>对履行法定职责的</w:t>
      </w:r>
      <w:r>
        <w:rPr>
          <w:rFonts w:hint="eastAsia"/>
          <w:color w:val="auto"/>
          <w:lang w:val="en-US" w:eastAsia="zh-CN"/>
        </w:rPr>
        <w:t>体育社会团体</w:t>
      </w:r>
      <w:r>
        <w:rPr>
          <w:rFonts w:hint="default"/>
          <w:color w:val="auto"/>
          <w:lang w:val="en-US" w:eastAsia="zh-CN"/>
        </w:rPr>
        <w:t>，严格核定成本，合理制定收费标准，防止过高收费</w:t>
      </w:r>
      <w:r>
        <w:rPr>
          <w:rFonts w:hint="eastAsia"/>
          <w:color w:val="auto"/>
          <w:lang w:val="en-US" w:eastAsia="zh-CN"/>
        </w:rPr>
        <w:t>。</w:t>
      </w:r>
    </w:p>
    <w:p w14:paraId="308F464D">
      <w:pPr>
        <w:pStyle w:val="184"/>
        <w:numPr>
          <w:ilvl w:val="0"/>
          <w:numId w:val="39"/>
        </w:numPr>
        <w:rPr>
          <w:color w:val="auto"/>
        </w:rPr>
      </w:pPr>
      <w:r>
        <w:rPr>
          <w:rFonts w:hint="eastAsia"/>
          <w:color w:val="auto"/>
        </w:rPr>
        <w:t>体育社会团体接受捐赠和赞助，应当以自愿为原则，签订协议，约定双方权利义务等。不应以捐赠、赞助名义强行摊派或进行利益输送等不当牟利活动。</w:t>
      </w:r>
    </w:p>
    <w:p w14:paraId="3D6E50E2">
      <w:pPr>
        <w:pStyle w:val="184"/>
        <w:numPr>
          <w:ilvl w:val="0"/>
          <w:numId w:val="39"/>
        </w:numPr>
        <w:rPr>
          <w:color w:val="auto"/>
        </w:rPr>
      </w:pPr>
      <w:r>
        <w:rPr>
          <w:rFonts w:hint="eastAsia"/>
          <w:color w:val="auto"/>
        </w:rPr>
        <w:t>体育社会团体</w:t>
      </w:r>
      <w:r>
        <w:rPr>
          <w:rFonts w:hint="eastAsia"/>
          <w:color w:val="auto"/>
          <w:lang w:val="en-US" w:eastAsia="zh-CN"/>
        </w:rPr>
        <w:t>收费</w:t>
      </w:r>
      <w:r>
        <w:rPr>
          <w:rFonts w:hint="eastAsia" w:cs="Times New Roman"/>
          <w:color w:val="auto"/>
          <w:sz w:val="21"/>
          <w:lang w:val="en-US" w:eastAsia="zh-CN" w:bidi="ar-SA"/>
        </w:rPr>
        <w:t>不应有以下</w:t>
      </w:r>
      <w:r>
        <w:rPr>
          <w:rFonts w:hint="eastAsia"/>
          <w:color w:val="auto"/>
          <w:lang w:val="en-US" w:eastAsia="zh-CN"/>
        </w:rPr>
        <w:t>行为：</w:t>
      </w:r>
    </w:p>
    <w:p w14:paraId="6CD25634">
      <w:pPr>
        <w:pStyle w:val="119"/>
        <w:numPr>
          <w:ilvl w:val="1"/>
          <w:numId w:val="40"/>
        </w:numPr>
        <w:rPr>
          <w:rFonts w:hint="default" w:ascii="宋体" w:hAnsi="Times New Roman" w:eastAsia="宋体" w:cs="Times New Roman"/>
          <w:color w:val="auto"/>
          <w:sz w:val="21"/>
          <w:lang w:val="en-US" w:eastAsia="zh-CN" w:bidi="ar-SA"/>
        </w:rPr>
      </w:pPr>
      <w:r>
        <w:rPr>
          <w:rFonts w:hint="eastAsia" w:cs="Times New Roman"/>
          <w:color w:val="auto"/>
          <w:sz w:val="21"/>
          <w:lang w:val="en-US" w:eastAsia="zh-CN" w:bidi="ar-SA"/>
        </w:rPr>
        <w:t>不应</w:t>
      </w:r>
      <w:r>
        <w:rPr>
          <w:rFonts w:hint="default" w:ascii="宋体" w:hAnsi="Times New Roman" w:eastAsia="宋体" w:cs="Times New Roman"/>
          <w:color w:val="auto"/>
          <w:sz w:val="21"/>
          <w:lang w:val="en-US" w:eastAsia="zh-CN" w:bidi="ar-SA"/>
        </w:rPr>
        <w:t xml:space="preserve">强制入会并收费，强制会员单位参加会议、培训、考试、展览、出国考察等各类收费，强制会员单位付费订购产品、刊物，强制会员单位提供赞助和捐赠； </w:t>
      </w:r>
    </w:p>
    <w:p w14:paraId="46713149">
      <w:pPr>
        <w:pStyle w:val="119"/>
        <w:numPr>
          <w:ilvl w:val="1"/>
          <w:numId w:val="40"/>
        </w:numPr>
        <w:rPr>
          <w:rFonts w:hint="default" w:ascii="宋体" w:hAnsi="Times New Roman" w:eastAsia="宋体" w:cs="Times New Roman"/>
          <w:color w:val="auto"/>
          <w:sz w:val="21"/>
          <w:lang w:val="en-US" w:eastAsia="zh-CN" w:bidi="ar-SA"/>
        </w:rPr>
      </w:pPr>
      <w:r>
        <w:rPr>
          <w:rFonts w:hint="eastAsia" w:cs="Times New Roman"/>
          <w:color w:val="auto"/>
          <w:sz w:val="21"/>
          <w:lang w:val="en-US" w:eastAsia="zh-CN" w:bidi="ar-SA"/>
        </w:rPr>
        <w:t>不应</w:t>
      </w:r>
      <w:r>
        <w:rPr>
          <w:rFonts w:hint="default" w:ascii="宋体" w:hAnsi="Times New Roman" w:eastAsia="宋体" w:cs="Times New Roman"/>
          <w:color w:val="auto"/>
          <w:sz w:val="21"/>
          <w:lang w:val="en-US" w:eastAsia="zh-CN" w:bidi="ar-SA"/>
        </w:rPr>
        <w:t xml:space="preserve">利用法定职责和行政机关委托、授权违规收费； </w:t>
      </w:r>
    </w:p>
    <w:p w14:paraId="66BB99F0">
      <w:pPr>
        <w:pStyle w:val="119"/>
        <w:numPr>
          <w:ilvl w:val="1"/>
          <w:numId w:val="40"/>
        </w:numPr>
        <w:rPr>
          <w:rFonts w:hint="default" w:ascii="宋体" w:hAnsi="Times New Roman" w:eastAsia="宋体" w:cs="Times New Roman"/>
          <w:color w:val="auto"/>
          <w:sz w:val="21"/>
          <w:lang w:val="en-US" w:eastAsia="zh-CN" w:bidi="ar-SA"/>
        </w:rPr>
      </w:pPr>
      <w:r>
        <w:rPr>
          <w:rFonts w:hint="eastAsia" w:cs="Times New Roman"/>
          <w:color w:val="auto"/>
          <w:sz w:val="21"/>
          <w:lang w:val="en-US" w:eastAsia="zh-CN" w:bidi="ar-SA"/>
        </w:rPr>
        <w:t>不应</w:t>
      </w:r>
      <w:r>
        <w:rPr>
          <w:rFonts w:hint="default" w:ascii="宋体" w:hAnsi="Times New Roman" w:eastAsia="宋体" w:cs="Times New Roman"/>
          <w:color w:val="auto"/>
          <w:sz w:val="21"/>
          <w:lang w:val="en-US" w:eastAsia="zh-CN" w:bidi="ar-SA"/>
        </w:rPr>
        <w:t>利用评比达标表彰收费</w:t>
      </w:r>
      <w:r>
        <w:rPr>
          <w:rFonts w:hint="eastAsia" w:cs="Times New Roman"/>
          <w:color w:val="auto"/>
          <w:sz w:val="21"/>
          <w:lang w:val="en-US" w:eastAsia="zh-CN" w:bidi="ar-SA"/>
        </w:rPr>
        <w:t>，不应</w:t>
      </w:r>
      <w:r>
        <w:rPr>
          <w:rFonts w:hint="default" w:ascii="宋体" w:hAnsi="Times New Roman" w:eastAsia="宋体" w:cs="Times New Roman"/>
          <w:color w:val="auto"/>
          <w:sz w:val="21"/>
          <w:lang w:val="en-US" w:eastAsia="zh-CN" w:bidi="ar-SA"/>
        </w:rPr>
        <w:t xml:space="preserve">未经批准开展评比达标表彰活动； </w:t>
      </w:r>
    </w:p>
    <w:p w14:paraId="410B2755">
      <w:pPr>
        <w:pStyle w:val="119"/>
        <w:numPr>
          <w:ilvl w:val="1"/>
          <w:numId w:val="40"/>
        </w:numPr>
        <w:rPr>
          <w:rFonts w:hint="default" w:ascii="宋体" w:hAnsi="Times New Roman" w:eastAsia="宋体" w:cs="Times New Roman"/>
          <w:color w:val="auto"/>
          <w:sz w:val="21"/>
          <w:lang w:val="en-US" w:eastAsia="zh-CN" w:bidi="ar-SA"/>
        </w:rPr>
      </w:pPr>
      <w:r>
        <w:rPr>
          <w:rFonts w:hint="eastAsia" w:cs="Times New Roman"/>
          <w:color w:val="auto"/>
          <w:sz w:val="21"/>
          <w:lang w:val="en-US" w:eastAsia="zh-CN" w:bidi="ar-SA"/>
        </w:rPr>
        <w:t>不应</w:t>
      </w:r>
      <w:r>
        <w:rPr>
          <w:rFonts w:hint="default" w:ascii="宋体" w:hAnsi="Times New Roman" w:eastAsia="宋体" w:cs="Times New Roman"/>
          <w:color w:val="auto"/>
          <w:sz w:val="21"/>
          <w:lang w:val="en-US" w:eastAsia="zh-CN" w:bidi="ar-SA"/>
        </w:rPr>
        <w:t xml:space="preserve">通过职业资格认定收取除考试费、鉴定费以外的其他费用； </w:t>
      </w:r>
    </w:p>
    <w:p w14:paraId="7C2A90C7">
      <w:pPr>
        <w:pStyle w:val="119"/>
        <w:numPr>
          <w:ilvl w:val="1"/>
          <w:numId w:val="40"/>
        </w:numPr>
        <w:rPr>
          <w:rFonts w:hint="default" w:ascii="宋体" w:hAnsi="Times New Roman" w:eastAsia="宋体" w:cs="Times New Roman"/>
          <w:color w:val="auto"/>
          <w:sz w:val="21"/>
          <w:lang w:val="en-US" w:eastAsia="zh-CN" w:bidi="ar-SA"/>
        </w:rPr>
      </w:pPr>
      <w:r>
        <w:rPr>
          <w:rFonts w:hint="eastAsia" w:cs="Times New Roman"/>
          <w:color w:val="auto"/>
          <w:sz w:val="21"/>
          <w:lang w:val="en-US" w:eastAsia="zh-CN" w:bidi="ar-SA"/>
        </w:rPr>
        <w:t>不应</w:t>
      </w:r>
      <w:r>
        <w:rPr>
          <w:rFonts w:hint="default" w:ascii="宋体" w:hAnsi="Times New Roman" w:eastAsia="宋体" w:cs="Times New Roman"/>
          <w:color w:val="auto"/>
          <w:sz w:val="21"/>
          <w:lang w:val="en-US" w:eastAsia="zh-CN" w:bidi="ar-SA"/>
        </w:rPr>
        <w:t xml:space="preserve">会费只收费不服务、多头重复收取会费或者通过收费返成方式收取会费等违规收费； </w:t>
      </w:r>
    </w:p>
    <w:p w14:paraId="709F9D90">
      <w:pPr>
        <w:pStyle w:val="119"/>
        <w:numPr>
          <w:ilvl w:val="1"/>
          <w:numId w:val="40"/>
        </w:numPr>
        <w:rPr>
          <w:rFonts w:hint="eastAsia" w:ascii="宋体" w:hAnsi="Times New Roman" w:eastAsia="宋体" w:cs="Times New Roman"/>
          <w:color w:val="auto"/>
          <w:sz w:val="21"/>
          <w:lang w:val="en-US" w:eastAsia="zh-CN" w:bidi="ar-SA"/>
        </w:rPr>
      </w:pPr>
      <w:r>
        <w:rPr>
          <w:rFonts w:hint="eastAsia" w:cs="Times New Roman"/>
          <w:color w:val="auto"/>
          <w:sz w:val="21"/>
          <w:lang w:val="en-US" w:eastAsia="zh-CN" w:bidi="ar-SA"/>
        </w:rPr>
        <w:t>不应</w:t>
      </w:r>
      <w:r>
        <w:rPr>
          <w:rFonts w:hint="default" w:ascii="宋体" w:hAnsi="Times New Roman" w:eastAsia="宋体" w:cs="Times New Roman"/>
          <w:color w:val="auto"/>
          <w:sz w:val="21"/>
          <w:lang w:val="en-US" w:eastAsia="zh-CN" w:bidi="ar-SA"/>
        </w:rPr>
        <w:t>利用所掌握的会员信息、行业数据信息等不当牟利</w:t>
      </w:r>
      <w:r>
        <w:rPr>
          <w:rFonts w:hint="eastAsia" w:cs="Times New Roman"/>
          <w:color w:val="auto"/>
          <w:sz w:val="21"/>
          <w:lang w:val="en-US" w:eastAsia="zh-CN" w:bidi="ar-SA"/>
        </w:rPr>
        <w:t>。</w:t>
      </w:r>
    </w:p>
    <w:p w14:paraId="2DBA5257">
      <w:pPr>
        <w:pStyle w:val="115"/>
        <w:spacing w:before="156" w:after="156"/>
        <w:ind w:left="0"/>
        <w:rPr>
          <w:color w:val="auto"/>
        </w:rPr>
      </w:pPr>
      <w:bookmarkStart w:id="105" w:name="_Toc4250"/>
      <w:r>
        <w:rPr>
          <w:rFonts w:hint="eastAsia"/>
          <w:color w:val="auto"/>
        </w:rPr>
        <w:t>风险管理</w:t>
      </w:r>
      <w:bookmarkEnd w:id="105"/>
    </w:p>
    <w:p w14:paraId="67126715">
      <w:pPr>
        <w:pStyle w:val="175"/>
        <w:ind w:left="0"/>
        <w:rPr>
          <w:color w:val="auto"/>
        </w:rPr>
      </w:pPr>
      <w:r>
        <w:rPr>
          <w:rFonts w:hint="eastAsia"/>
          <w:color w:val="auto"/>
        </w:rPr>
        <w:t>加强风险防控意识，坚持预防为主的原则，动态识</w:t>
      </w:r>
      <w:r>
        <w:rPr>
          <w:color w:val="auto"/>
        </w:rPr>
        <w:t>别</w:t>
      </w:r>
      <w:r>
        <w:rPr>
          <w:rFonts w:hint="eastAsia"/>
          <w:color w:val="auto"/>
        </w:rPr>
        <w:t>单位</w:t>
      </w:r>
      <w:r>
        <w:rPr>
          <w:color w:val="auto"/>
        </w:rPr>
        <w:t>发展过程中隐含的潜在风险，对可能出现的风险进行预先评估，制定预防和控制风险的对策方案</w:t>
      </w:r>
      <w:r>
        <w:rPr>
          <w:rFonts w:hint="eastAsia"/>
          <w:color w:val="auto"/>
        </w:rPr>
        <w:t>。</w:t>
      </w:r>
      <w:r>
        <w:rPr>
          <w:color w:val="auto"/>
        </w:rPr>
        <w:t xml:space="preserve"> </w:t>
      </w:r>
    </w:p>
    <w:p w14:paraId="0A5B9095">
      <w:pPr>
        <w:pStyle w:val="175"/>
        <w:ind w:left="0"/>
        <w:rPr>
          <w:color w:val="auto"/>
        </w:rPr>
      </w:pPr>
      <w:r>
        <w:rPr>
          <w:color w:val="auto"/>
        </w:rPr>
        <w:t>定期梳理并总结业务活动、内部治理、财务管理、安全生产等运行中的风险点，建立完善的风险防范制度，制定并有效执行风险防范措施</w:t>
      </w:r>
      <w:r>
        <w:rPr>
          <w:rFonts w:hint="eastAsia"/>
          <w:color w:val="auto"/>
        </w:rPr>
        <w:t>。</w:t>
      </w:r>
    </w:p>
    <w:p w14:paraId="6BC54C20">
      <w:pPr>
        <w:pStyle w:val="175"/>
        <w:ind w:left="0"/>
        <w:rPr>
          <w:color w:val="auto"/>
        </w:rPr>
      </w:pPr>
      <w:r>
        <w:rPr>
          <w:rFonts w:hint="eastAsia"/>
          <w:color w:val="auto"/>
        </w:rPr>
        <w:t>积极适应全媒体时代媒介环境的变化，建立</w:t>
      </w:r>
      <w:r>
        <w:rPr>
          <w:color w:val="auto"/>
        </w:rPr>
        <w:t>新闻发言人制度和舆情应对制度，全面、及时、准确发布和应对舆情</w:t>
      </w:r>
      <w:r>
        <w:rPr>
          <w:rFonts w:hint="eastAsia"/>
          <w:color w:val="auto"/>
        </w:rPr>
        <w:t>。</w:t>
      </w:r>
      <w:r>
        <w:rPr>
          <w:color w:val="auto"/>
        </w:rPr>
        <w:t xml:space="preserve"> 新闻发言人按照民主程序产生，人员名单及变动情况及时向社会公开</w:t>
      </w:r>
      <w:r>
        <w:rPr>
          <w:rFonts w:hint="eastAsia"/>
          <w:color w:val="auto"/>
        </w:rPr>
        <w:t>。</w:t>
      </w:r>
    </w:p>
    <w:p w14:paraId="2A814486">
      <w:pPr>
        <w:pStyle w:val="175"/>
        <w:ind w:left="0"/>
        <w:rPr>
          <w:rFonts w:hint="eastAsia"/>
          <w:color w:val="auto"/>
        </w:rPr>
      </w:pPr>
      <w:r>
        <w:rPr>
          <w:rFonts w:hint="eastAsia"/>
          <w:color w:val="auto"/>
        </w:rPr>
        <w:t>体育社会团体应设置安全生产管理架构，制定安全生产年度目标，逐级签订年度安全生产责任书，建立健全安全生产责任制度，并传达至责任人员。</w:t>
      </w:r>
    </w:p>
    <w:p w14:paraId="5515E7EE">
      <w:pPr>
        <w:pStyle w:val="114"/>
        <w:spacing w:before="312" w:after="312"/>
        <w:rPr>
          <w:color w:val="auto"/>
        </w:rPr>
      </w:pPr>
      <w:bookmarkStart w:id="106" w:name="_Toc12047"/>
      <w:bookmarkStart w:id="107" w:name="_Toc8654"/>
      <w:r>
        <w:rPr>
          <w:rFonts w:hint="eastAsia"/>
          <w:color w:val="auto"/>
        </w:rPr>
        <w:t>监</w:t>
      </w:r>
      <w:r>
        <w:rPr>
          <w:rFonts w:hint="eastAsia"/>
          <w:color w:val="auto"/>
          <w:lang w:val="en-US" w:eastAsia="zh-CN"/>
        </w:rPr>
        <w:t>管</w:t>
      </w:r>
      <w:r>
        <w:rPr>
          <w:rFonts w:hint="eastAsia"/>
          <w:color w:val="auto"/>
        </w:rPr>
        <w:t>要求</w:t>
      </w:r>
      <w:bookmarkEnd w:id="106"/>
      <w:bookmarkEnd w:id="107"/>
    </w:p>
    <w:p w14:paraId="4ED918D2">
      <w:pPr>
        <w:pStyle w:val="115"/>
        <w:spacing w:before="156" w:after="156"/>
        <w:ind w:left="0"/>
        <w:rPr>
          <w:color w:val="auto"/>
        </w:rPr>
      </w:pPr>
      <w:bookmarkStart w:id="108" w:name="_Toc9737"/>
      <w:bookmarkStart w:id="109" w:name="_Toc23664"/>
      <w:r>
        <w:rPr>
          <w:rFonts w:hint="eastAsia"/>
          <w:color w:val="auto"/>
        </w:rPr>
        <w:t>年度考核</w:t>
      </w:r>
      <w:bookmarkEnd w:id="108"/>
      <w:bookmarkEnd w:id="109"/>
      <w:r>
        <w:rPr>
          <w:rFonts w:hint="eastAsia"/>
          <w:color w:val="auto"/>
        </w:rPr>
        <w:t xml:space="preserve"> </w:t>
      </w:r>
    </w:p>
    <w:p w14:paraId="18595F57">
      <w:pPr>
        <w:pStyle w:val="75"/>
        <w:spacing w:before="156" w:after="156"/>
        <w:ind w:left="0"/>
        <w:rPr>
          <w:color w:val="auto"/>
        </w:rPr>
      </w:pPr>
      <w:bookmarkStart w:id="110" w:name="_Toc12161"/>
      <w:r>
        <w:rPr>
          <w:rFonts w:hint="eastAsia"/>
          <w:color w:val="auto"/>
          <w:lang w:val="en-US" w:eastAsia="zh-CN"/>
        </w:rPr>
        <w:t>要求</w:t>
      </w:r>
      <w:bookmarkEnd w:id="110"/>
    </w:p>
    <w:p w14:paraId="6AB1AF73">
      <w:pPr>
        <w:pStyle w:val="174"/>
        <w:ind w:left="0"/>
        <w:rPr>
          <w:color w:val="auto"/>
        </w:rPr>
      </w:pPr>
      <w:r>
        <w:rPr>
          <w:rFonts w:hint="eastAsia"/>
          <w:color w:val="auto"/>
        </w:rPr>
        <w:t>体育社会团体进行自评打分并提供佐证材料要求见《广东省省级体育社会团体评估指标体系》。体育社会团体负责人就年度工作进行述职，述职采取书面述职和口头述职相结合的方式</w:t>
      </w:r>
      <w:r>
        <w:rPr>
          <w:rFonts w:hint="eastAsia"/>
          <w:color w:val="auto"/>
          <w:lang w:eastAsia="zh-CN"/>
        </w:rPr>
        <w:t>。</w:t>
      </w:r>
    </w:p>
    <w:p w14:paraId="2F2457E8">
      <w:pPr>
        <w:pStyle w:val="174"/>
        <w:ind w:left="0"/>
        <w:rPr>
          <w:rFonts w:hint="eastAsia"/>
          <w:color w:val="auto"/>
        </w:rPr>
      </w:pPr>
      <w:r>
        <w:rPr>
          <w:rFonts w:hint="eastAsia"/>
          <w:color w:val="auto"/>
        </w:rPr>
        <w:t>业务主管单位组成考核小组，书面及口头述职情况对体育社会团体进行综合评议要求见《广东省省级体育社会团体评估指标体系》。</w:t>
      </w:r>
    </w:p>
    <w:p w14:paraId="6B87247A">
      <w:pPr>
        <w:pStyle w:val="174"/>
        <w:ind w:left="0"/>
        <w:rPr>
          <w:rFonts w:hint="eastAsia"/>
          <w:color w:val="auto"/>
        </w:rPr>
      </w:pPr>
      <w:r>
        <w:rPr>
          <w:rFonts w:hint="eastAsia"/>
          <w:color w:val="auto"/>
        </w:rPr>
        <w:t>考核结果分为优秀（91—100分）、良好（71—90分）、及格（60—70分）、不及格（60分以下）四档，由考核小组根据综合评议情况予以定档建议。</w:t>
      </w:r>
    </w:p>
    <w:p w14:paraId="505B1ED8">
      <w:pPr>
        <w:pStyle w:val="174"/>
        <w:ind w:left="0"/>
        <w:rPr>
          <w:rFonts w:hint="eastAsia"/>
          <w:color w:val="auto"/>
        </w:rPr>
      </w:pPr>
      <w:r>
        <w:rPr>
          <w:rFonts w:hint="eastAsia"/>
          <w:color w:val="auto"/>
        </w:rPr>
        <w:t>考核结果经审定后，予以公开通报，并以书面形式向体育社会团体及其负责人反馈。考核不及格者要约谈提醒，并责令限期整改。</w:t>
      </w:r>
    </w:p>
    <w:p w14:paraId="1AB63BD0">
      <w:pPr>
        <w:pStyle w:val="75"/>
        <w:spacing w:before="156" w:after="156"/>
        <w:ind w:left="0"/>
        <w:rPr>
          <w:rFonts w:hint="eastAsia"/>
          <w:color w:val="auto"/>
          <w:lang w:val="en-US" w:eastAsia="zh-CN"/>
        </w:rPr>
      </w:pPr>
      <w:bookmarkStart w:id="111" w:name="_Toc1121"/>
      <w:r>
        <w:rPr>
          <w:rFonts w:hint="eastAsia"/>
          <w:color w:val="auto"/>
          <w:lang w:val="en-US" w:eastAsia="zh-CN"/>
        </w:rPr>
        <w:t>奖惩机制</w:t>
      </w:r>
      <w:bookmarkEnd w:id="111"/>
    </w:p>
    <w:p w14:paraId="5ADF77F2">
      <w:pPr>
        <w:pStyle w:val="174"/>
        <w:numPr>
          <w:ilvl w:val="4"/>
          <w:numId w:val="0"/>
        </w:numPr>
        <w:ind w:leftChars="0" w:firstLine="420" w:firstLineChars="200"/>
        <w:rPr>
          <w:color w:val="auto"/>
        </w:rPr>
      </w:pPr>
      <w:r>
        <w:rPr>
          <w:rFonts w:hint="eastAsia"/>
          <w:color w:val="auto"/>
          <w:lang w:val="en-US" w:eastAsia="zh-CN"/>
        </w:rPr>
        <w:t>对</w:t>
      </w:r>
      <w:r>
        <w:rPr>
          <w:rFonts w:hint="eastAsia"/>
          <w:color w:val="auto"/>
        </w:rPr>
        <w:t>体育社会团体奖惩机制如下：</w:t>
      </w:r>
    </w:p>
    <w:p w14:paraId="1F31CF15">
      <w:pPr>
        <w:pStyle w:val="184"/>
        <w:numPr>
          <w:ilvl w:val="0"/>
          <w:numId w:val="41"/>
        </w:numPr>
        <w:rPr>
          <w:color w:val="auto"/>
        </w:rPr>
      </w:pPr>
      <w:r>
        <w:rPr>
          <w:rFonts w:hint="eastAsia"/>
          <w:color w:val="auto"/>
        </w:rPr>
        <w:t>对年度考核评定为“优秀”或进位成效突出的体育社会团体予以通报表扬，作为评先奖优的重要参考，并作为政策试点、项目安排、政府购买服务的重要依据。</w:t>
      </w:r>
    </w:p>
    <w:p w14:paraId="25643742">
      <w:pPr>
        <w:pStyle w:val="184"/>
        <w:numPr>
          <w:ilvl w:val="0"/>
          <w:numId w:val="41"/>
        </w:numPr>
        <w:rPr>
          <w:color w:val="auto"/>
        </w:rPr>
      </w:pPr>
      <w:r>
        <w:rPr>
          <w:rFonts w:hint="eastAsia"/>
          <w:color w:val="auto"/>
        </w:rPr>
        <w:t>出现下列情形之一的，实行一票否决，直接定为不及格档：</w:t>
      </w:r>
    </w:p>
    <w:p w14:paraId="131793B2">
      <w:pPr>
        <w:pStyle w:val="119"/>
        <w:numPr>
          <w:ilvl w:val="1"/>
          <w:numId w:val="40"/>
        </w:numPr>
        <w:rPr>
          <w:color w:val="auto"/>
        </w:rPr>
      </w:pPr>
      <w:r>
        <w:rPr>
          <w:rFonts w:hint="eastAsia"/>
          <w:color w:val="auto"/>
        </w:rPr>
        <w:t>违反有关法律、法规和政策；</w:t>
      </w:r>
    </w:p>
    <w:p w14:paraId="266350E5">
      <w:pPr>
        <w:pStyle w:val="119"/>
        <w:numPr>
          <w:ilvl w:val="1"/>
          <w:numId w:val="40"/>
        </w:numPr>
        <w:rPr>
          <w:color w:val="auto"/>
        </w:rPr>
      </w:pPr>
      <w:r>
        <w:rPr>
          <w:rFonts w:hint="eastAsia"/>
          <w:color w:val="auto"/>
        </w:rPr>
        <w:t>年度工作造成严重不良影响的；</w:t>
      </w:r>
    </w:p>
    <w:p w14:paraId="6A24BDDC">
      <w:pPr>
        <w:pStyle w:val="119"/>
        <w:numPr>
          <w:ilvl w:val="1"/>
          <w:numId w:val="40"/>
        </w:numPr>
        <w:rPr>
          <w:color w:val="auto"/>
        </w:rPr>
      </w:pPr>
      <w:r>
        <w:rPr>
          <w:rFonts w:hint="eastAsia"/>
          <w:color w:val="auto"/>
        </w:rPr>
        <w:t>组织竞赛或活动，因麻痹大意、疏于管理，发生人员伤亡等重大责任事故的；</w:t>
      </w:r>
    </w:p>
    <w:p w14:paraId="6AB4539C">
      <w:pPr>
        <w:pStyle w:val="119"/>
        <w:numPr>
          <w:ilvl w:val="1"/>
          <w:numId w:val="40"/>
        </w:numPr>
        <w:rPr>
          <w:color w:val="auto"/>
        </w:rPr>
      </w:pPr>
      <w:r>
        <w:rPr>
          <w:rFonts w:hint="eastAsia"/>
          <w:color w:val="auto"/>
        </w:rPr>
        <w:t>秘书长以上领导出现职务犯罪的；</w:t>
      </w:r>
    </w:p>
    <w:p w14:paraId="25EE799B">
      <w:pPr>
        <w:pStyle w:val="119"/>
        <w:numPr>
          <w:ilvl w:val="1"/>
          <w:numId w:val="40"/>
        </w:numPr>
        <w:rPr>
          <w:color w:val="auto"/>
        </w:rPr>
      </w:pPr>
      <w:r>
        <w:rPr>
          <w:rFonts w:hint="eastAsia"/>
          <w:color w:val="auto"/>
        </w:rPr>
        <w:t>年检不通过的；</w:t>
      </w:r>
    </w:p>
    <w:p w14:paraId="3EB9F353">
      <w:pPr>
        <w:pStyle w:val="119"/>
        <w:numPr>
          <w:ilvl w:val="1"/>
          <w:numId w:val="40"/>
        </w:numPr>
        <w:rPr>
          <w:color w:val="auto"/>
        </w:rPr>
      </w:pPr>
      <w:r>
        <w:rPr>
          <w:rFonts w:hint="eastAsia"/>
          <w:color w:val="auto"/>
        </w:rPr>
        <w:t>超出规定换届时间一年以上的；</w:t>
      </w:r>
    </w:p>
    <w:p w14:paraId="35D0636A">
      <w:pPr>
        <w:pStyle w:val="119"/>
        <w:numPr>
          <w:ilvl w:val="1"/>
          <w:numId w:val="40"/>
        </w:numPr>
        <w:rPr>
          <w:color w:val="auto"/>
        </w:rPr>
      </w:pPr>
      <w:r>
        <w:rPr>
          <w:rFonts w:hint="eastAsia"/>
          <w:color w:val="auto"/>
        </w:rPr>
        <w:t>在考核工作中弄虚作假、漏报瞒报，经查证属实的；</w:t>
      </w:r>
    </w:p>
    <w:p w14:paraId="5D7F3CDB">
      <w:pPr>
        <w:pStyle w:val="119"/>
        <w:numPr>
          <w:ilvl w:val="1"/>
          <w:numId w:val="40"/>
        </w:numPr>
        <w:rPr>
          <w:color w:val="auto"/>
        </w:rPr>
      </w:pPr>
      <w:r>
        <w:rPr>
          <w:rFonts w:hint="eastAsia"/>
          <w:color w:val="auto"/>
        </w:rPr>
        <w:t>其他应当实行一票否决的情况。</w:t>
      </w:r>
    </w:p>
    <w:p w14:paraId="2631ECDC">
      <w:pPr>
        <w:pStyle w:val="184"/>
        <w:numPr>
          <w:ilvl w:val="0"/>
          <w:numId w:val="41"/>
        </w:numPr>
        <w:rPr>
          <w:color w:val="auto"/>
        </w:rPr>
      </w:pPr>
      <w:r>
        <w:rPr>
          <w:rFonts w:hint="eastAsia"/>
          <w:color w:val="auto"/>
        </w:rPr>
        <w:t>出现下列情形的，不再作为省体育总会会员单位：</w:t>
      </w:r>
    </w:p>
    <w:p w14:paraId="57B94ABB">
      <w:pPr>
        <w:pStyle w:val="119"/>
        <w:numPr>
          <w:ilvl w:val="1"/>
          <w:numId w:val="40"/>
        </w:numPr>
        <w:rPr>
          <w:color w:val="auto"/>
        </w:rPr>
      </w:pPr>
      <w:r>
        <w:rPr>
          <w:rFonts w:hint="eastAsia"/>
          <w:color w:val="auto"/>
        </w:rPr>
        <w:t>连续两年考核结果为不及格的；</w:t>
      </w:r>
    </w:p>
    <w:p w14:paraId="76276212">
      <w:pPr>
        <w:pStyle w:val="119"/>
        <w:numPr>
          <w:ilvl w:val="1"/>
          <w:numId w:val="40"/>
        </w:numPr>
        <w:rPr>
          <w:color w:val="auto"/>
        </w:rPr>
      </w:pPr>
      <w:r>
        <w:rPr>
          <w:rFonts w:hint="eastAsia"/>
          <w:color w:val="auto"/>
        </w:rPr>
        <w:t>连续两年不参加年度考核的。</w:t>
      </w:r>
    </w:p>
    <w:p w14:paraId="1C434981">
      <w:pPr>
        <w:pStyle w:val="115"/>
        <w:spacing w:before="156" w:after="156"/>
        <w:ind w:left="0"/>
        <w:rPr>
          <w:color w:val="auto"/>
        </w:rPr>
      </w:pPr>
      <w:bookmarkStart w:id="112" w:name="_Toc15478"/>
      <w:bookmarkStart w:id="113" w:name="_Toc28419"/>
      <w:r>
        <w:rPr>
          <w:rFonts w:hint="eastAsia"/>
          <w:color w:val="auto"/>
        </w:rPr>
        <w:t>约见谈话</w:t>
      </w:r>
      <w:bookmarkEnd w:id="112"/>
      <w:bookmarkEnd w:id="113"/>
    </w:p>
    <w:p w14:paraId="57C0C364">
      <w:pPr>
        <w:pStyle w:val="175"/>
        <w:ind w:left="0"/>
        <w:rPr>
          <w:color w:val="auto"/>
        </w:rPr>
      </w:pPr>
      <w:r>
        <w:rPr>
          <w:rFonts w:hint="eastAsia"/>
          <w:color w:val="auto"/>
        </w:rPr>
        <w:t>体育社会团体出现下列情况时，业务主管单位应对</w:t>
      </w:r>
      <w:r>
        <w:rPr>
          <w:rFonts w:hint="eastAsia"/>
          <w:color w:val="auto"/>
          <w:shd w:val="clear" w:color="auto" w:fill="FFFFFF"/>
        </w:rPr>
        <w:t>体育社会</w:t>
      </w:r>
      <w:r>
        <w:rPr>
          <w:rFonts w:hint="eastAsia"/>
          <w:color w:val="auto"/>
        </w:rPr>
        <w:t>团体</w:t>
      </w:r>
      <w:r>
        <w:rPr>
          <w:rFonts w:hint="eastAsia"/>
          <w:color w:val="auto"/>
          <w:shd w:val="clear" w:color="auto" w:fill="FFFFFF"/>
        </w:rPr>
        <w:t>负责人进行</w:t>
      </w:r>
      <w:r>
        <w:rPr>
          <w:rFonts w:hint="eastAsia"/>
          <w:color w:val="auto"/>
        </w:rPr>
        <w:t>约谈：</w:t>
      </w:r>
    </w:p>
    <w:p w14:paraId="39D20BA6">
      <w:pPr>
        <w:pStyle w:val="184"/>
        <w:numPr>
          <w:ilvl w:val="0"/>
          <w:numId w:val="42"/>
        </w:numPr>
        <w:rPr>
          <w:color w:val="auto"/>
        </w:rPr>
      </w:pPr>
      <w:r>
        <w:rPr>
          <w:rFonts w:hint="eastAsia"/>
          <w:color w:val="auto"/>
        </w:rPr>
        <w:t>被投诉或举报且经初步核查发现存在违规违纪违法行为的；</w:t>
      </w:r>
    </w:p>
    <w:p w14:paraId="0039C880">
      <w:pPr>
        <w:pStyle w:val="184"/>
        <w:numPr>
          <w:ilvl w:val="0"/>
          <w:numId w:val="42"/>
        </w:numPr>
        <w:rPr>
          <w:color w:val="auto"/>
        </w:rPr>
      </w:pPr>
      <w:r>
        <w:rPr>
          <w:rFonts w:hint="eastAsia"/>
          <w:color w:val="auto"/>
        </w:rPr>
        <w:t>在年检中被列为异常名录的；</w:t>
      </w:r>
    </w:p>
    <w:p w14:paraId="5B521E59">
      <w:pPr>
        <w:pStyle w:val="184"/>
        <w:numPr>
          <w:ilvl w:val="0"/>
          <w:numId w:val="42"/>
        </w:numPr>
        <w:rPr>
          <w:color w:val="auto"/>
        </w:rPr>
      </w:pPr>
      <w:r>
        <w:rPr>
          <w:rFonts w:hint="eastAsia"/>
          <w:color w:val="auto"/>
        </w:rPr>
        <w:t>在年度考核中不及格的；</w:t>
      </w:r>
    </w:p>
    <w:p w14:paraId="151E68A4">
      <w:pPr>
        <w:pStyle w:val="184"/>
        <w:numPr>
          <w:ilvl w:val="0"/>
          <w:numId w:val="42"/>
        </w:numPr>
        <w:rPr>
          <w:color w:val="auto"/>
        </w:rPr>
      </w:pPr>
      <w:r>
        <w:rPr>
          <w:rFonts w:hint="eastAsia"/>
          <w:color w:val="auto"/>
        </w:rPr>
        <w:t>被政府有关部门处罚的；</w:t>
      </w:r>
    </w:p>
    <w:p w14:paraId="5B6E6F5C">
      <w:pPr>
        <w:pStyle w:val="184"/>
        <w:numPr>
          <w:ilvl w:val="0"/>
          <w:numId w:val="42"/>
        </w:numPr>
        <w:rPr>
          <w:color w:val="auto"/>
        </w:rPr>
      </w:pPr>
      <w:r>
        <w:rPr>
          <w:rFonts w:hint="eastAsia"/>
          <w:color w:val="auto"/>
        </w:rPr>
        <w:t>出现媒体负面报道或产生舆情风险的；</w:t>
      </w:r>
    </w:p>
    <w:p w14:paraId="09C5AB1C">
      <w:pPr>
        <w:pStyle w:val="184"/>
        <w:numPr>
          <w:ilvl w:val="0"/>
          <w:numId w:val="42"/>
        </w:numPr>
        <w:rPr>
          <w:color w:val="auto"/>
        </w:rPr>
      </w:pPr>
      <w:r>
        <w:rPr>
          <w:rFonts w:hint="eastAsia"/>
          <w:color w:val="auto"/>
        </w:rPr>
        <w:t>在参与公益创投、政府购买服务或其他公共服务过程中，因违法违规操作和管理失序引发纠纷或不良后果的；</w:t>
      </w:r>
    </w:p>
    <w:p w14:paraId="05B581CE">
      <w:pPr>
        <w:pStyle w:val="184"/>
        <w:numPr>
          <w:ilvl w:val="0"/>
          <w:numId w:val="42"/>
        </w:numPr>
        <w:rPr>
          <w:color w:val="auto"/>
        </w:rPr>
      </w:pPr>
      <w:r>
        <w:rPr>
          <w:rFonts w:hint="eastAsia"/>
          <w:color w:val="auto"/>
        </w:rPr>
        <w:t>在日常监督中发现可能存在违法违规行为的；</w:t>
      </w:r>
    </w:p>
    <w:p w14:paraId="3E1442BE">
      <w:pPr>
        <w:pStyle w:val="184"/>
        <w:numPr>
          <w:ilvl w:val="0"/>
          <w:numId w:val="42"/>
        </w:numPr>
        <w:rPr>
          <w:color w:val="auto"/>
        </w:rPr>
      </w:pPr>
      <w:r>
        <w:rPr>
          <w:rFonts w:hint="eastAsia"/>
          <w:color w:val="auto"/>
        </w:rPr>
        <w:t>可能导致严重后果情形的；</w:t>
      </w:r>
    </w:p>
    <w:p w14:paraId="7C8B4B69">
      <w:pPr>
        <w:pStyle w:val="184"/>
        <w:numPr>
          <w:ilvl w:val="0"/>
          <w:numId w:val="42"/>
        </w:numPr>
        <w:rPr>
          <w:color w:val="auto"/>
        </w:rPr>
      </w:pPr>
      <w:r>
        <w:rPr>
          <w:rFonts w:hint="eastAsia"/>
          <w:color w:val="auto"/>
        </w:rPr>
        <w:t>意识形态领域出现问题的；</w:t>
      </w:r>
    </w:p>
    <w:p w14:paraId="12B75745">
      <w:pPr>
        <w:pStyle w:val="184"/>
        <w:numPr>
          <w:ilvl w:val="0"/>
          <w:numId w:val="42"/>
        </w:numPr>
        <w:rPr>
          <w:color w:val="auto"/>
        </w:rPr>
      </w:pPr>
      <w:r>
        <w:rPr>
          <w:rFonts w:hint="eastAsia"/>
          <w:color w:val="auto"/>
        </w:rPr>
        <w:t>其他需要约谈的情形。</w:t>
      </w:r>
    </w:p>
    <w:p w14:paraId="04FACE3A">
      <w:pPr>
        <w:pStyle w:val="175"/>
        <w:ind w:left="0"/>
        <w:rPr>
          <w:color w:val="auto"/>
        </w:rPr>
      </w:pPr>
      <w:r>
        <w:rPr>
          <w:rFonts w:hint="eastAsia"/>
          <w:color w:val="auto"/>
        </w:rPr>
        <w:t>体育社会团体被约谈时，</w:t>
      </w:r>
      <w:r>
        <w:rPr>
          <w:rFonts w:hint="eastAsia"/>
          <w:color w:val="auto"/>
          <w:shd w:val="clear" w:color="auto" w:fill="FFFFFF"/>
        </w:rPr>
        <w:t>实施规定如下</w:t>
      </w:r>
      <w:r>
        <w:rPr>
          <w:rFonts w:hint="eastAsia"/>
          <w:color w:val="auto"/>
        </w:rPr>
        <w:t>：</w:t>
      </w:r>
    </w:p>
    <w:p w14:paraId="6B7FCBDE">
      <w:pPr>
        <w:pStyle w:val="184"/>
        <w:numPr>
          <w:ilvl w:val="0"/>
          <w:numId w:val="43"/>
        </w:numPr>
        <w:rPr>
          <w:color w:val="auto"/>
        </w:rPr>
      </w:pPr>
      <w:r>
        <w:rPr>
          <w:rFonts w:hint="eastAsia"/>
          <w:color w:val="auto"/>
        </w:rPr>
        <w:t>明确约谈目的和注意事项及约谈原因及主要内容；</w:t>
      </w:r>
    </w:p>
    <w:p w14:paraId="68F6BD65">
      <w:pPr>
        <w:pStyle w:val="184"/>
        <w:numPr>
          <w:ilvl w:val="0"/>
          <w:numId w:val="43"/>
        </w:numPr>
        <w:rPr>
          <w:color w:val="auto"/>
        </w:rPr>
      </w:pPr>
      <w:r>
        <w:rPr>
          <w:rFonts w:hint="eastAsia"/>
          <w:color w:val="auto"/>
        </w:rPr>
        <w:t>明确负责人违规违纪违法情形及相关法律法规及政策规定；</w:t>
      </w:r>
    </w:p>
    <w:p w14:paraId="654D43FE">
      <w:pPr>
        <w:pStyle w:val="184"/>
        <w:numPr>
          <w:ilvl w:val="0"/>
          <w:numId w:val="43"/>
        </w:numPr>
        <w:rPr>
          <w:color w:val="auto"/>
        </w:rPr>
      </w:pPr>
      <w:r>
        <w:rPr>
          <w:rFonts w:hint="eastAsia"/>
          <w:color w:val="auto"/>
        </w:rPr>
        <w:t>约谈对象针对约谈内容进行陈述；</w:t>
      </w:r>
    </w:p>
    <w:p w14:paraId="4C582F9E">
      <w:pPr>
        <w:pStyle w:val="184"/>
        <w:numPr>
          <w:ilvl w:val="0"/>
          <w:numId w:val="43"/>
        </w:numPr>
        <w:rPr>
          <w:color w:val="auto"/>
        </w:rPr>
      </w:pPr>
      <w:r>
        <w:rPr>
          <w:rFonts w:hint="eastAsia"/>
          <w:color w:val="auto"/>
        </w:rPr>
        <w:t>突出重点，围绕苗头性、倾向性问题，以及其他需要引起注意的情况，运用通报批评、书面检查等方式提出整改意见，对违规违纪违法行为尚未终止的，要求立即停止；</w:t>
      </w:r>
    </w:p>
    <w:p w14:paraId="331E1513">
      <w:pPr>
        <w:pStyle w:val="184"/>
        <w:numPr>
          <w:ilvl w:val="0"/>
          <w:numId w:val="43"/>
        </w:numPr>
        <w:rPr>
          <w:color w:val="auto"/>
        </w:rPr>
      </w:pPr>
      <w:r>
        <w:rPr>
          <w:rFonts w:hint="eastAsia"/>
          <w:color w:val="auto"/>
        </w:rPr>
        <w:t>被约谈对象对约谈内容有异议的，有权进行陈述或申辩；提出的事实、理由成立的，约谈机关应当采纳；</w:t>
      </w:r>
    </w:p>
    <w:p w14:paraId="3CAFBF3A">
      <w:pPr>
        <w:pStyle w:val="184"/>
        <w:numPr>
          <w:ilvl w:val="0"/>
          <w:numId w:val="43"/>
        </w:numPr>
        <w:rPr>
          <w:color w:val="auto"/>
        </w:rPr>
      </w:pPr>
      <w:r>
        <w:rPr>
          <w:rFonts w:hint="eastAsia"/>
          <w:color w:val="auto"/>
        </w:rPr>
        <w:t>约谈结束时，约谈记录由双方签字确认。被约谈对象拒绝签名的，应当在约谈记录上注明，并经现场其他见证人员签字确认。必要时可将约谈记录形成约谈纪要发送有关单位。</w:t>
      </w:r>
    </w:p>
    <w:p w14:paraId="08D02E16">
      <w:pPr>
        <w:pStyle w:val="175"/>
        <w:ind w:left="0"/>
        <w:rPr>
          <w:color w:val="auto"/>
        </w:rPr>
      </w:pPr>
      <w:r>
        <w:rPr>
          <w:rFonts w:hint="eastAsia"/>
          <w:color w:val="auto"/>
        </w:rPr>
        <w:t>整改按如下规定执行：</w:t>
      </w:r>
    </w:p>
    <w:p w14:paraId="7ADAAFD1">
      <w:pPr>
        <w:pStyle w:val="184"/>
        <w:numPr>
          <w:ilvl w:val="0"/>
          <w:numId w:val="44"/>
        </w:numPr>
        <w:rPr>
          <w:color w:val="auto"/>
        </w:rPr>
      </w:pPr>
      <w:r>
        <w:rPr>
          <w:rFonts w:hint="eastAsia"/>
          <w:color w:val="auto"/>
        </w:rPr>
        <w:t>约谈单位接受整改意见的，可以在约谈记录上作出整改承诺。情节严重的，约谈机关发出书面整改通知书。</w:t>
      </w:r>
    </w:p>
    <w:p w14:paraId="384BD883">
      <w:pPr>
        <w:pStyle w:val="184"/>
        <w:numPr>
          <w:ilvl w:val="0"/>
          <w:numId w:val="44"/>
        </w:numPr>
        <w:rPr>
          <w:color w:val="auto"/>
        </w:rPr>
      </w:pPr>
      <w:r>
        <w:rPr>
          <w:rFonts w:hint="eastAsia"/>
          <w:color w:val="auto"/>
        </w:rPr>
        <w:t>收到书面整改通知书的被约谈单位，应按照要求，对约谈指出的问题进行全面整改，并在书面整改通知书规定时限内上报约谈小组，接受审查验收。</w:t>
      </w:r>
    </w:p>
    <w:p w14:paraId="27546363">
      <w:pPr>
        <w:pStyle w:val="184"/>
        <w:numPr>
          <w:ilvl w:val="0"/>
          <w:numId w:val="44"/>
        </w:numPr>
        <w:rPr>
          <w:color w:val="auto"/>
        </w:rPr>
      </w:pPr>
      <w:r>
        <w:rPr>
          <w:rFonts w:hint="eastAsia"/>
          <w:color w:val="auto"/>
        </w:rPr>
        <w:t>整改结束后，约谈小组可在整改期限过后组织对被约谈单位进行跟踪检查，针对约谈所提出问题的整改情况进行现场核查。</w:t>
      </w:r>
    </w:p>
    <w:p w14:paraId="0D3B8E3B">
      <w:pPr>
        <w:pStyle w:val="184"/>
        <w:numPr>
          <w:ilvl w:val="0"/>
          <w:numId w:val="44"/>
        </w:numPr>
        <w:rPr>
          <w:color w:val="auto"/>
        </w:rPr>
      </w:pPr>
      <w:r>
        <w:rPr>
          <w:rFonts w:hint="eastAsia"/>
          <w:color w:val="auto"/>
        </w:rPr>
        <w:t>约谈单位无正当理由不接受约谈，拒绝在约谈记录上签字，不接受整改意见或不落实整改承诺的，约谈小组应当及时启动其他监管程序，并将上述情况作为年检、年度考核、等级评估、追责问责等工作的参考。</w:t>
      </w:r>
    </w:p>
    <w:p w14:paraId="4C2FADDA">
      <w:pPr>
        <w:pStyle w:val="115"/>
        <w:spacing w:before="156" w:after="156"/>
        <w:ind w:left="0"/>
        <w:rPr>
          <w:color w:val="auto"/>
        </w:rPr>
      </w:pPr>
      <w:bookmarkStart w:id="114" w:name="_Toc11141"/>
      <w:bookmarkStart w:id="115" w:name="_Toc19783"/>
      <w:r>
        <w:rPr>
          <w:rFonts w:hint="eastAsia"/>
          <w:color w:val="auto"/>
        </w:rPr>
        <w:t>重大事项</w:t>
      </w:r>
      <w:bookmarkEnd w:id="114"/>
      <w:r>
        <w:rPr>
          <w:rFonts w:hint="eastAsia"/>
          <w:color w:val="auto"/>
        </w:rPr>
        <w:t>报备</w:t>
      </w:r>
      <w:bookmarkEnd w:id="115"/>
    </w:p>
    <w:p w14:paraId="74C8431C">
      <w:pPr>
        <w:pStyle w:val="174"/>
        <w:numPr>
          <w:ilvl w:val="4"/>
          <w:numId w:val="0"/>
        </w:numPr>
        <w:ind w:firstLine="420" w:firstLineChars="200"/>
        <w:rPr>
          <w:color w:val="auto"/>
          <w:shd w:val="clear" w:color="auto" w:fill="FFFFFF"/>
        </w:rPr>
      </w:pPr>
      <w:r>
        <w:rPr>
          <w:rFonts w:hint="eastAsia"/>
          <w:color w:val="auto"/>
          <w:shd w:val="clear" w:color="auto" w:fill="FFFFFF"/>
        </w:rPr>
        <w:t>体育社会</w:t>
      </w:r>
      <w:r>
        <w:rPr>
          <w:rFonts w:hint="eastAsia"/>
          <w:color w:val="auto"/>
        </w:rPr>
        <w:t>团体</w:t>
      </w:r>
      <w:r>
        <w:rPr>
          <w:rFonts w:hint="eastAsia"/>
          <w:color w:val="auto"/>
          <w:shd w:val="clear" w:color="auto" w:fill="FFFFFF"/>
        </w:rPr>
        <w:t>重大事项的报备要求见《省级体育社会团体重大事项报备的规定》：</w:t>
      </w:r>
    </w:p>
    <w:p w14:paraId="40FB568E">
      <w:pPr>
        <w:pStyle w:val="184"/>
        <w:numPr>
          <w:ilvl w:val="0"/>
          <w:numId w:val="45"/>
        </w:numPr>
        <w:rPr>
          <w:color w:val="auto"/>
          <w:shd w:val="clear" w:color="auto" w:fill="FFFFFF"/>
        </w:rPr>
      </w:pPr>
      <w:r>
        <w:rPr>
          <w:rFonts w:hint="eastAsia"/>
          <w:color w:val="auto"/>
          <w:shd w:val="clear" w:color="auto" w:fill="FFFFFF"/>
        </w:rPr>
        <w:t>重大决策事项：</w:t>
      </w:r>
    </w:p>
    <w:p w14:paraId="4FBC49E3">
      <w:pPr>
        <w:pStyle w:val="119"/>
        <w:numPr>
          <w:ilvl w:val="1"/>
          <w:numId w:val="46"/>
        </w:numPr>
        <w:rPr>
          <w:color w:val="auto"/>
        </w:rPr>
      </w:pPr>
      <w:r>
        <w:rPr>
          <w:rFonts w:hint="eastAsia"/>
          <w:color w:val="auto"/>
        </w:rPr>
        <w:t>贯彻执行党和国家的路线、方针、政策、法律法规和上级重要决定的重大措施；</w:t>
      </w:r>
    </w:p>
    <w:p w14:paraId="7AF00D25">
      <w:pPr>
        <w:pStyle w:val="119"/>
        <w:numPr>
          <w:ilvl w:val="1"/>
          <w:numId w:val="46"/>
        </w:numPr>
        <w:rPr>
          <w:color w:val="auto"/>
        </w:rPr>
      </w:pPr>
      <w:r>
        <w:rPr>
          <w:rFonts w:hint="eastAsia"/>
          <w:color w:val="auto"/>
        </w:rPr>
        <w:t>加强党的建设、思想政治工作、精神文明建设、意识形态工作、行风建设、安全稳定等方面的重要事项；</w:t>
      </w:r>
    </w:p>
    <w:p w14:paraId="4E8BCD50">
      <w:pPr>
        <w:pStyle w:val="119"/>
        <w:numPr>
          <w:ilvl w:val="1"/>
          <w:numId w:val="46"/>
        </w:numPr>
        <w:rPr>
          <w:color w:val="auto"/>
        </w:rPr>
      </w:pPr>
      <w:r>
        <w:rPr>
          <w:rFonts w:hint="eastAsia"/>
          <w:color w:val="auto"/>
        </w:rPr>
        <w:t>发展定位、发展方向、发展规划、年度工作计划和工作总结；</w:t>
      </w:r>
    </w:p>
    <w:p w14:paraId="3E90FECB">
      <w:pPr>
        <w:pStyle w:val="119"/>
        <w:numPr>
          <w:ilvl w:val="1"/>
          <w:numId w:val="46"/>
        </w:numPr>
        <w:rPr>
          <w:color w:val="auto"/>
        </w:rPr>
      </w:pPr>
      <w:r>
        <w:rPr>
          <w:rFonts w:hint="eastAsia"/>
          <w:color w:val="auto"/>
        </w:rPr>
        <w:t>提升内部治理等重要制度规范的制定、修改和废除；</w:t>
      </w:r>
    </w:p>
    <w:p w14:paraId="1856DA3C">
      <w:pPr>
        <w:pStyle w:val="119"/>
        <w:numPr>
          <w:ilvl w:val="1"/>
          <w:numId w:val="46"/>
        </w:numPr>
        <w:rPr>
          <w:color w:val="auto"/>
        </w:rPr>
      </w:pPr>
      <w:r>
        <w:rPr>
          <w:rFonts w:hint="eastAsia"/>
          <w:color w:val="auto"/>
        </w:rPr>
        <w:t>分支机构、内设组织机构的设置、调整及工作职责的修订等；</w:t>
      </w:r>
    </w:p>
    <w:p w14:paraId="16F60D57">
      <w:pPr>
        <w:pStyle w:val="119"/>
        <w:numPr>
          <w:ilvl w:val="1"/>
          <w:numId w:val="46"/>
        </w:numPr>
        <w:rPr>
          <w:color w:val="auto"/>
        </w:rPr>
      </w:pPr>
      <w:r>
        <w:rPr>
          <w:rFonts w:hint="eastAsia"/>
          <w:color w:val="auto"/>
        </w:rPr>
        <w:t>会费、收入分配及福利待遇等事关会员切身利益的重要事项；</w:t>
      </w:r>
    </w:p>
    <w:p w14:paraId="1B95A900">
      <w:pPr>
        <w:pStyle w:val="119"/>
        <w:numPr>
          <w:ilvl w:val="1"/>
          <w:numId w:val="46"/>
        </w:numPr>
        <w:rPr>
          <w:color w:val="auto"/>
        </w:rPr>
      </w:pPr>
      <w:r>
        <w:rPr>
          <w:rFonts w:hint="eastAsia"/>
          <w:color w:val="auto"/>
        </w:rPr>
        <w:t>换届、变更情况；</w:t>
      </w:r>
    </w:p>
    <w:p w14:paraId="49725A99">
      <w:pPr>
        <w:pStyle w:val="119"/>
        <w:numPr>
          <w:ilvl w:val="1"/>
          <w:numId w:val="46"/>
        </w:numPr>
        <w:rPr>
          <w:color w:val="auto"/>
        </w:rPr>
      </w:pPr>
      <w:r>
        <w:rPr>
          <w:rFonts w:hint="eastAsia"/>
          <w:color w:val="auto"/>
        </w:rPr>
        <w:t>厅局级以上重要表彰奖励；</w:t>
      </w:r>
    </w:p>
    <w:p w14:paraId="6FCBF4EB">
      <w:pPr>
        <w:pStyle w:val="119"/>
        <w:numPr>
          <w:ilvl w:val="1"/>
          <w:numId w:val="46"/>
        </w:numPr>
        <w:rPr>
          <w:color w:val="auto"/>
        </w:rPr>
      </w:pPr>
      <w:r>
        <w:rPr>
          <w:rFonts w:hint="eastAsia"/>
          <w:color w:val="auto"/>
        </w:rPr>
        <w:t>涉及违纪违规违法案件的处理；</w:t>
      </w:r>
    </w:p>
    <w:p w14:paraId="000A1F7A">
      <w:pPr>
        <w:pStyle w:val="119"/>
        <w:numPr>
          <w:ilvl w:val="1"/>
          <w:numId w:val="46"/>
        </w:numPr>
        <w:rPr>
          <w:color w:val="auto"/>
        </w:rPr>
      </w:pPr>
      <w:r>
        <w:rPr>
          <w:rFonts w:hint="eastAsia"/>
          <w:color w:val="auto"/>
        </w:rPr>
        <w:t>其他有关体育社会团体全局性、方向性、战略性等重大事项。</w:t>
      </w:r>
    </w:p>
    <w:p w14:paraId="1D9BD026">
      <w:pPr>
        <w:pStyle w:val="184"/>
        <w:numPr>
          <w:ilvl w:val="0"/>
          <w:numId w:val="45"/>
        </w:numPr>
        <w:rPr>
          <w:color w:val="auto"/>
          <w:shd w:val="clear" w:color="auto" w:fill="FFFFFF"/>
        </w:rPr>
      </w:pPr>
      <w:r>
        <w:rPr>
          <w:rFonts w:hint="eastAsia"/>
          <w:color w:val="auto"/>
          <w:shd w:val="clear" w:color="auto" w:fill="FFFFFF"/>
        </w:rPr>
        <w:t>重大项目安排事项：</w:t>
      </w:r>
    </w:p>
    <w:p w14:paraId="30483A99">
      <w:pPr>
        <w:pStyle w:val="119"/>
        <w:numPr>
          <w:ilvl w:val="1"/>
          <w:numId w:val="46"/>
        </w:numPr>
        <w:rPr>
          <w:color w:val="auto"/>
        </w:rPr>
      </w:pPr>
      <w:r>
        <w:rPr>
          <w:rFonts w:hint="eastAsia"/>
          <w:color w:val="auto"/>
        </w:rPr>
        <w:t>参加境外比赛、活动、训练、会议、调研等活动；</w:t>
      </w:r>
    </w:p>
    <w:p w14:paraId="6FA4F7D3">
      <w:pPr>
        <w:pStyle w:val="119"/>
        <w:numPr>
          <w:ilvl w:val="1"/>
          <w:numId w:val="46"/>
        </w:numPr>
        <w:rPr>
          <w:color w:val="auto"/>
        </w:rPr>
      </w:pPr>
      <w:r>
        <w:rPr>
          <w:rFonts w:hint="eastAsia"/>
          <w:color w:val="auto"/>
        </w:rPr>
        <w:t>举办（主办、承办、协办）区域性、全国性、国际性体育赛事活动；</w:t>
      </w:r>
    </w:p>
    <w:p w14:paraId="5C5786E2">
      <w:pPr>
        <w:pStyle w:val="119"/>
        <w:numPr>
          <w:ilvl w:val="1"/>
          <w:numId w:val="46"/>
        </w:numPr>
        <w:rPr>
          <w:color w:val="auto"/>
        </w:rPr>
      </w:pPr>
      <w:r>
        <w:rPr>
          <w:rFonts w:hint="eastAsia"/>
          <w:color w:val="auto"/>
        </w:rPr>
        <w:t>各类政府购买服务资金安排及实施中的重大管理问题；</w:t>
      </w:r>
    </w:p>
    <w:p w14:paraId="48F392F3">
      <w:pPr>
        <w:pStyle w:val="119"/>
        <w:numPr>
          <w:ilvl w:val="1"/>
          <w:numId w:val="46"/>
        </w:numPr>
        <w:rPr>
          <w:color w:val="auto"/>
        </w:rPr>
      </w:pPr>
      <w:r>
        <w:rPr>
          <w:rFonts w:hint="eastAsia"/>
          <w:color w:val="auto"/>
        </w:rPr>
        <w:t>国内国（境）外交流与合作重要项目；</w:t>
      </w:r>
    </w:p>
    <w:p w14:paraId="6DA19F25">
      <w:pPr>
        <w:pStyle w:val="119"/>
        <w:numPr>
          <w:ilvl w:val="1"/>
          <w:numId w:val="46"/>
        </w:numPr>
        <w:rPr>
          <w:color w:val="auto"/>
        </w:rPr>
      </w:pPr>
      <w:r>
        <w:rPr>
          <w:rFonts w:hint="eastAsia"/>
          <w:color w:val="auto"/>
        </w:rPr>
        <w:t>重要设备和大宗物资采购和服务购买；</w:t>
      </w:r>
    </w:p>
    <w:p w14:paraId="40616604">
      <w:pPr>
        <w:pStyle w:val="119"/>
        <w:numPr>
          <w:ilvl w:val="1"/>
          <w:numId w:val="46"/>
        </w:numPr>
        <w:rPr>
          <w:color w:val="auto"/>
        </w:rPr>
      </w:pPr>
      <w:r>
        <w:rPr>
          <w:rFonts w:hint="eastAsia"/>
          <w:color w:val="auto"/>
        </w:rPr>
        <w:t>其他重大项目安排事项；</w:t>
      </w:r>
    </w:p>
    <w:p w14:paraId="26687047">
      <w:pPr>
        <w:pStyle w:val="119"/>
        <w:numPr>
          <w:ilvl w:val="1"/>
          <w:numId w:val="46"/>
        </w:numPr>
        <w:rPr>
          <w:color w:val="auto"/>
        </w:rPr>
      </w:pPr>
      <w:r>
        <w:rPr>
          <w:rFonts w:hint="eastAsia"/>
          <w:color w:val="auto"/>
        </w:rPr>
        <w:t>用于事业发展的投资、融资；</w:t>
      </w:r>
    </w:p>
    <w:p w14:paraId="4AE0DF56">
      <w:pPr>
        <w:pStyle w:val="119"/>
        <w:numPr>
          <w:ilvl w:val="1"/>
          <w:numId w:val="46"/>
        </w:numPr>
        <w:rPr>
          <w:color w:val="auto"/>
        </w:rPr>
      </w:pPr>
      <w:r>
        <w:rPr>
          <w:rFonts w:hint="eastAsia"/>
          <w:color w:val="auto"/>
        </w:rPr>
        <w:t>接受捐赠的物资。</w:t>
      </w:r>
    </w:p>
    <w:p w14:paraId="3E9D3919">
      <w:pPr>
        <w:pStyle w:val="66"/>
        <w:ind w:firstLine="420"/>
        <w:rPr>
          <w:color w:val="auto"/>
        </w:rPr>
      </w:pPr>
    </w:p>
    <w:p w14:paraId="72B31D3E">
      <w:pPr>
        <w:pStyle w:val="66"/>
        <w:ind w:firstLine="420"/>
        <w:rPr>
          <w:color w:val="auto"/>
        </w:rPr>
      </w:pPr>
    </w:p>
    <w:p w14:paraId="6044097C">
      <w:pPr>
        <w:pStyle w:val="28"/>
        <w:adjustRightInd w:val="0"/>
        <w:snapToGrid w:val="0"/>
        <w:spacing w:before="0" w:beforeAutospacing="0" w:after="0" w:afterAutospacing="0"/>
        <w:ind w:firstLine="420" w:firstLineChars="200"/>
        <w:jc w:val="both"/>
        <w:rPr>
          <w:rFonts w:hint="eastAsia" w:ascii="宋体" w:hAnsi="宋体" w:cs="宋体"/>
          <w:color w:val="auto"/>
          <w:sz w:val="21"/>
          <w:szCs w:val="21"/>
        </w:rPr>
        <w:sectPr>
          <w:pgSz w:w="11906" w:h="16838"/>
          <w:pgMar w:top="1928" w:right="1134" w:bottom="1134" w:left="1134" w:header="1418" w:footer="1134" w:gutter="284"/>
          <w:cols w:space="425" w:num="1"/>
          <w:formProt w:val="0"/>
          <w:docGrid w:type="lines" w:linePitch="312" w:charSpace="0"/>
        </w:sectPr>
      </w:pPr>
      <w:r>
        <w:rPr>
          <w:rFonts w:hint="eastAsia" w:ascii="宋体" w:hAnsi="宋体" w:cs="宋体"/>
          <w:color w:val="auto"/>
          <w:sz w:val="21"/>
          <w:szCs w:val="21"/>
        </w:rPr>
        <w:t xml:space="preserve"> </w:t>
      </w:r>
    </w:p>
    <w:bookmarkEnd w:id="26"/>
    <w:p w14:paraId="4BC265B4">
      <w:pPr>
        <w:pStyle w:val="208"/>
        <w:rPr>
          <w:rFonts w:hint="eastAsia"/>
          <w:vanish w:val="0"/>
          <w:color w:val="auto"/>
        </w:rPr>
      </w:pPr>
      <w:bookmarkStart w:id="116" w:name="BookMark5"/>
    </w:p>
    <w:p w14:paraId="0E1E550D">
      <w:pPr>
        <w:pStyle w:val="209"/>
        <w:rPr>
          <w:vanish w:val="0"/>
          <w:color w:val="auto"/>
        </w:rPr>
      </w:pPr>
    </w:p>
    <w:p w14:paraId="1D8D07DA">
      <w:pPr>
        <w:pStyle w:val="208"/>
        <w:rPr>
          <w:rFonts w:hint="eastAsia"/>
          <w:vanish w:val="0"/>
          <w:color w:val="auto"/>
        </w:rPr>
      </w:pPr>
    </w:p>
    <w:p w14:paraId="40446F18">
      <w:pPr>
        <w:pStyle w:val="209"/>
        <w:rPr>
          <w:vanish w:val="0"/>
          <w:color w:val="auto"/>
        </w:rPr>
      </w:pPr>
    </w:p>
    <w:p w14:paraId="05A45C17">
      <w:pPr>
        <w:pStyle w:val="208"/>
        <w:rPr>
          <w:rFonts w:hint="eastAsia"/>
          <w:vanish w:val="0"/>
          <w:color w:val="auto"/>
        </w:rPr>
      </w:pPr>
    </w:p>
    <w:p w14:paraId="3E5F7205">
      <w:pPr>
        <w:pStyle w:val="209"/>
        <w:rPr>
          <w:vanish w:val="0"/>
          <w:color w:val="auto"/>
        </w:rPr>
      </w:pPr>
    </w:p>
    <w:bookmarkEnd w:id="116"/>
    <w:p w14:paraId="539B811A">
      <w:pPr>
        <w:pStyle w:val="73"/>
        <w:spacing w:after="156"/>
        <w:rPr>
          <w:color w:val="auto"/>
        </w:rPr>
      </w:pPr>
      <w:bookmarkStart w:id="117" w:name="_Toc2035"/>
      <w:bookmarkStart w:id="118" w:name="_Toc6167"/>
      <w:bookmarkStart w:id="119" w:name="BookMark6"/>
      <w:r>
        <w:rPr>
          <w:color w:val="auto"/>
          <w:spacing w:val="105"/>
        </w:rPr>
        <w:t>参考文</w:t>
      </w:r>
      <w:r>
        <w:rPr>
          <w:color w:val="auto"/>
        </w:rPr>
        <w:t>献</w:t>
      </w:r>
      <w:bookmarkEnd w:id="117"/>
      <w:bookmarkEnd w:id="118"/>
    </w:p>
    <w:p w14:paraId="0F82B60A">
      <w:pPr>
        <w:pStyle w:val="66"/>
        <w:numPr>
          <w:ilvl w:val="0"/>
          <w:numId w:val="47"/>
        </w:numPr>
        <w:ind w:firstLine="420"/>
        <w:rPr>
          <w:color w:val="auto"/>
          <w:shd w:val="clear" w:color="auto" w:fill="FFFFFF"/>
        </w:rPr>
      </w:pPr>
      <w:r>
        <w:rPr>
          <w:rFonts w:hint="eastAsia"/>
          <w:color w:val="auto"/>
          <w:shd w:val="clear" w:color="auto" w:fill="FFFFFF"/>
        </w:rPr>
        <w:t>社会团体登记管理条例</w:t>
      </w:r>
    </w:p>
    <w:p w14:paraId="418BE045">
      <w:pPr>
        <w:pStyle w:val="66"/>
        <w:numPr>
          <w:ilvl w:val="0"/>
          <w:numId w:val="47"/>
        </w:numPr>
        <w:ind w:firstLine="420"/>
        <w:rPr>
          <w:color w:val="auto"/>
          <w:shd w:val="clear" w:color="auto" w:fill="FFFFFF"/>
        </w:rPr>
      </w:pPr>
      <w:r>
        <w:rPr>
          <w:rFonts w:hint="eastAsia"/>
          <w:color w:val="auto"/>
          <w:shd w:val="clear" w:color="auto" w:fill="FFFFFF"/>
        </w:rPr>
        <w:t>中华人民共和国民法典</w:t>
      </w:r>
    </w:p>
    <w:p w14:paraId="6311F5AF">
      <w:pPr>
        <w:pStyle w:val="66"/>
        <w:numPr>
          <w:ilvl w:val="0"/>
          <w:numId w:val="47"/>
        </w:numPr>
        <w:ind w:firstLine="420"/>
        <w:rPr>
          <w:color w:val="auto"/>
          <w:shd w:val="clear" w:color="auto" w:fill="FFFFFF"/>
        </w:rPr>
      </w:pPr>
      <w:r>
        <w:rPr>
          <w:rFonts w:hint="eastAsia"/>
          <w:color w:val="auto"/>
          <w:shd w:val="clear" w:color="auto" w:fill="FFFFFF"/>
        </w:rPr>
        <w:t>中华人民共和国体育法</w:t>
      </w:r>
    </w:p>
    <w:p w14:paraId="76B39433">
      <w:pPr>
        <w:pStyle w:val="66"/>
        <w:numPr>
          <w:ilvl w:val="0"/>
          <w:numId w:val="47"/>
        </w:numPr>
        <w:ind w:firstLine="420"/>
        <w:rPr>
          <w:color w:val="auto"/>
          <w:shd w:val="clear" w:color="auto" w:fill="FFFFFF"/>
        </w:rPr>
      </w:pPr>
      <w:r>
        <w:rPr>
          <w:rFonts w:hint="eastAsia"/>
          <w:color w:val="auto"/>
          <w:shd w:val="clear" w:color="auto" w:fill="FFFFFF"/>
        </w:rPr>
        <w:t>中华人民共和国仲裁法</w:t>
      </w:r>
    </w:p>
    <w:p w14:paraId="0C5DB8FE">
      <w:pPr>
        <w:pStyle w:val="66"/>
        <w:numPr>
          <w:ilvl w:val="0"/>
          <w:numId w:val="47"/>
        </w:numPr>
        <w:ind w:firstLine="420"/>
        <w:rPr>
          <w:color w:val="auto"/>
          <w:shd w:val="clear" w:color="auto" w:fill="FFFFFF"/>
        </w:rPr>
      </w:pPr>
      <w:r>
        <w:rPr>
          <w:rFonts w:hint="eastAsia"/>
          <w:color w:val="auto"/>
          <w:shd w:val="clear" w:color="auto" w:fill="FFFFFF"/>
        </w:rPr>
        <w:t>中华人民共和国劳动争议调解仲裁法</w:t>
      </w:r>
    </w:p>
    <w:p w14:paraId="409F7E9C">
      <w:pPr>
        <w:pStyle w:val="66"/>
        <w:numPr>
          <w:ilvl w:val="0"/>
          <w:numId w:val="47"/>
        </w:numPr>
        <w:ind w:firstLine="420"/>
        <w:rPr>
          <w:color w:val="auto"/>
          <w:shd w:val="clear" w:color="auto" w:fill="FFFFFF"/>
        </w:rPr>
      </w:pPr>
      <w:r>
        <w:rPr>
          <w:rFonts w:hint="eastAsia"/>
          <w:color w:val="auto"/>
          <w:shd w:val="clear" w:color="auto" w:fill="FFFFFF"/>
        </w:rPr>
        <w:t>生产安全事故报告和调查处理条例</w:t>
      </w:r>
    </w:p>
    <w:p w14:paraId="798CBF72">
      <w:pPr>
        <w:pStyle w:val="66"/>
        <w:numPr>
          <w:ilvl w:val="0"/>
          <w:numId w:val="47"/>
        </w:numPr>
        <w:ind w:firstLine="420"/>
        <w:rPr>
          <w:color w:val="auto"/>
          <w:shd w:val="clear" w:color="auto" w:fill="FFFFFF"/>
        </w:rPr>
      </w:pPr>
      <w:r>
        <w:rPr>
          <w:rFonts w:hint="eastAsia"/>
          <w:color w:val="auto"/>
          <w:shd w:val="clear" w:color="auto" w:fill="FFFFFF"/>
        </w:rPr>
        <w:t>中国共产党章程</w:t>
      </w:r>
    </w:p>
    <w:p w14:paraId="0678695E">
      <w:pPr>
        <w:pStyle w:val="66"/>
        <w:numPr>
          <w:ilvl w:val="0"/>
          <w:numId w:val="47"/>
        </w:numPr>
        <w:ind w:firstLine="420"/>
        <w:rPr>
          <w:color w:val="auto"/>
          <w:shd w:val="clear" w:color="auto" w:fill="FFFFFF"/>
        </w:rPr>
      </w:pPr>
      <w:r>
        <w:rPr>
          <w:rFonts w:hint="eastAsia"/>
          <w:color w:val="auto"/>
          <w:shd w:val="clear" w:color="auto" w:fill="FFFFFF"/>
        </w:rPr>
        <w:t>中国共产党支部工作条例（试行）</w:t>
      </w:r>
    </w:p>
    <w:p w14:paraId="6A99B4AC">
      <w:pPr>
        <w:pStyle w:val="66"/>
        <w:numPr>
          <w:ilvl w:val="0"/>
          <w:numId w:val="47"/>
        </w:numPr>
        <w:ind w:firstLine="420"/>
        <w:rPr>
          <w:color w:val="auto"/>
          <w:shd w:val="clear" w:color="auto" w:fill="FFFFFF"/>
        </w:rPr>
      </w:pPr>
      <w:r>
        <w:rPr>
          <w:rFonts w:hint="eastAsia"/>
          <w:color w:val="auto"/>
          <w:shd w:val="clear" w:color="auto" w:fill="FFFFFF"/>
        </w:rPr>
        <w:t>中华人民共和国会计法</w:t>
      </w:r>
    </w:p>
    <w:p w14:paraId="4F0F4F2D">
      <w:pPr>
        <w:pStyle w:val="66"/>
        <w:numPr>
          <w:ilvl w:val="0"/>
          <w:numId w:val="47"/>
        </w:numPr>
        <w:ind w:firstLine="420"/>
        <w:rPr>
          <w:color w:val="auto"/>
          <w:shd w:val="clear" w:color="auto" w:fill="FFFFFF"/>
        </w:rPr>
      </w:pPr>
      <w:r>
        <w:rPr>
          <w:rFonts w:hint="eastAsia"/>
          <w:color w:val="auto"/>
          <w:shd w:val="clear" w:color="auto" w:fill="FFFFFF"/>
        </w:rPr>
        <w:t>会计基础工作规范</w:t>
      </w:r>
    </w:p>
    <w:p w14:paraId="7D74046A">
      <w:pPr>
        <w:pStyle w:val="66"/>
        <w:numPr>
          <w:ilvl w:val="0"/>
          <w:numId w:val="47"/>
        </w:numPr>
        <w:ind w:firstLine="420"/>
        <w:rPr>
          <w:color w:val="auto"/>
          <w:shd w:val="clear" w:color="auto" w:fill="FFFFFF"/>
        </w:rPr>
      </w:pPr>
      <w:r>
        <w:rPr>
          <w:rFonts w:hint="eastAsia"/>
          <w:color w:val="auto"/>
          <w:shd w:val="clear" w:color="auto" w:fill="FFFFFF"/>
        </w:rPr>
        <w:t>会计档案管理办法</w:t>
      </w:r>
    </w:p>
    <w:p w14:paraId="0D894B03">
      <w:pPr>
        <w:pStyle w:val="66"/>
        <w:numPr>
          <w:ilvl w:val="0"/>
          <w:numId w:val="47"/>
        </w:numPr>
        <w:ind w:firstLine="420"/>
        <w:rPr>
          <w:color w:val="auto"/>
          <w:shd w:val="clear" w:color="auto" w:fill="FFFFFF"/>
        </w:rPr>
      </w:pPr>
      <w:r>
        <w:rPr>
          <w:rFonts w:hint="eastAsia"/>
          <w:color w:val="auto"/>
          <w:shd w:val="clear" w:color="auto" w:fill="FFFFFF"/>
        </w:rPr>
        <w:t>现金管理暂行条例</w:t>
      </w:r>
    </w:p>
    <w:p w14:paraId="2C6BB454">
      <w:pPr>
        <w:pStyle w:val="66"/>
        <w:numPr>
          <w:ilvl w:val="0"/>
          <w:numId w:val="47"/>
        </w:numPr>
        <w:ind w:firstLine="420"/>
        <w:rPr>
          <w:color w:val="auto"/>
          <w:shd w:val="clear" w:color="auto" w:fill="FFFFFF"/>
        </w:rPr>
      </w:pPr>
      <w:r>
        <w:rPr>
          <w:rFonts w:hint="eastAsia"/>
          <w:color w:val="auto"/>
          <w:shd w:val="clear" w:color="auto" w:fill="FFFFFF"/>
        </w:rPr>
        <w:t>人民币银行结算账户管理办法</w:t>
      </w:r>
    </w:p>
    <w:p w14:paraId="274279D7">
      <w:pPr>
        <w:pStyle w:val="66"/>
        <w:numPr>
          <w:ilvl w:val="0"/>
          <w:numId w:val="47"/>
        </w:numPr>
        <w:ind w:firstLine="420"/>
        <w:rPr>
          <w:color w:val="auto"/>
          <w:shd w:val="clear" w:color="auto" w:fill="FFFFFF"/>
        </w:rPr>
      </w:pPr>
      <w:r>
        <w:rPr>
          <w:rFonts w:hint="eastAsia"/>
          <w:color w:val="auto"/>
          <w:shd w:val="clear" w:color="auto" w:fill="FFFFFF"/>
        </w:rPr>
        <w:t>经营高危险性体育项目许可管理办法</w:t>
      </w:r>
    </w:p>
    <w:p w14:paraId="795D1838">
      <w:pPr>
        <w:pStyle w:val="66"/>
        <w:numPr>
          <w:ilvl w:val="0"/>
          <w:numId w:val="47"/>
        </w:numPr>
        <w:ind w:firstLine="420"/>
        <w:rPr>
          <w:color w:val="auto"/>
          <w:shd w:val="clear" w:color="auto" w:fill="FFFFFF"/>
        </w:rPr>
      </w:pPr>
      <w:r>
        <w:rPr>
          <w:rFonts w:hint="eastAsia"/>
          <w:color w:val="auto"/>
          <w:shd w:val="clear" w:color="auto" w:fill="FFFFFF"/>
        </w:rPr>
        <w:t>全民健身条例</w:t>
      </w:r>
    </w:p>
    <w:p w14:paraId="4B40FFF3">
      <w:pPr>
        <w:pStyle w:val="66"/>
        <w:numPr>
          <w:ilvl w:val="0"/>
          <w:numId w:val="47"/>
        </w:numPr>
        <w:ind w:firstLine="420"/>
        <w:rPr>
          <w:color w:val="auto"/>
          <w:shd w:val="clear" w:color="auto" w:fill="FFFFFF"/>
        </w:rPr>
      </w:pPr>
      <w:r>
        <w:rPr>
          <w:rFonts w:hint="eastAsia"/>
          <w:color w:val="auto"/>
          <w:shd w:val="clear" w:color="auto" w:fill="FFFFFF"/>
        </w:rPr>
        <w:t>体育赛事活动赛风赛纪管理办法</w:t>
      </w:r>
    </w:p>
    <w:p w14:paraId="54D884A1">
      <w:pPr>
        <w:pStyle w:val="66"/>
        <w:numPr>
          <w:ilvl w:val="0"/>
          <w:numId w:val="47"/>
        </w:numPr>
        <w:ind w:firstLine="420"/>
        <w:rPr>
          <w:color w:val="auto"/>
          <w:shd w:val="clear" w:color="auto" w:fill="FFFFFF"/>
        </w:rPr>
      </w:pPr>
      <w:r>
        <w:rPr>
          <w:rFonts w:hint="eastAsia"/>
          <w:color w:val="auto"/>
          <w:shd w:val="clear" w:color="auto" w:fill="FFFFFF"/>
        </w:rPr>
        <w:t>社会组织信用信息管理办法 民政部令第60号</w:t>
      </w:r>
    </w:p>
    <w:p w14:paraId="34B3CFE3">
      <w:pPr>
        <w:pStyle w:val="66"/>
        <w:numPr>
          <w:ilvl w:val="0"/>
          <w:numId w:val="47"/>
        </w:numPr>
        <w:ind w:firstLine="420"/>
        <w:rPr>
          <w:color w:val="auto"/>
          <w:shd w:val="clear" w:color="auto" w:fill="FFFFFF"/>
        </w:rPr>
      </w:pPr>
      <w:r>
        <w:rPr>
          <w:rFonts w:hint="eastAsia"/>
          <w:color w:val="auto"/>
          <w:shd w:val="clear" w:color="auto" w:fill="FFFFFF"/>
        </w:rPr>
        <w:t>民间非营利组织会计制度  财会〔2004〕7号</w:t>
      </w:r>
    </w:p>
    <w:p w14:paraId="5591A9D3">
      <w:pPr>
        <w:pStyle w:val="66"/>
        <w:numPr>
          <w:ilvl w:val="0"/>
          <w:numId w:val="47"/>
        </w:numPr>
        <w:ind w:firstLine="420"/>
        <w:rPr>
          <w:color w:val="auto"/>
          <w:shd w:val="clear" w:color="auto" w:fill="FFFFFF"/>
        </w:rPr>
      </w:pPr>
      <w:r>
        <w:rPr>
          <w:rFonts w:hint="eastAsia"/>
          <w:color w:val="auto"/>
          <w:shd w:val="clear" w:color="auto" w:fill="FFFFFF"/>
        </w:rPr>
        <w:t>社会组织名称管理办法  民政部令第69号</w:t>
      </w:r>
    </w:p>
    <w:p w14:paraId="41738FB1">
      <w:pPr>
        <w:pStyle w:val="66"/>
        <w:numPr>
          <w:ilvl w:val="0"/>
          <w:numId w:val="47"/>
        </w:numPr>
        <w:ind w:firstLine="420"/>
        <w:rPr>
          <w:color w:val="auto"/>
          <w:shd w:val="clear" w:color="auto" w:fill="FFFFFF"/>
        </w:rPr>
      </w:pPr>
      <w:r>
        <w:rPr>
          <w:rFonts w:hint="eastAsia"/>
          <w:color w:val="auto"/>
          <w:shd w:val="clear" w:color="auto" w:fill="FFFFFF"/>
        </w:rPr>
        <w:t>民政部办公厅关于在社会组织登记管理工作中加强名称管理有关问题的通知  民办发〔2018〕11号</w:t>
      </w:r>
    </w:p>
    <w:p w14:paraId="31BFA29E">
      <w:pPr>
        <w:pStyle w:val="66"/>
        <w:numPr>
          <w:ilvl w:val="0"/>
          <w:numId w:val="47"/>
        </w:numPr>
        <w:ind w:firstLine="420"/>
        <w:rPr>
          <w:color w:val="auto"/>
          <w:shd w:val="clear" w:color="auto" w:fill="FFFFFF"/>
        </w:rPr>
      </w:pPr>
      <w:r>
        <w:rPr>
          <w:rFonts w:hint="eastAsia"/>
          <w:color w:val="auto"/>
          <w:shd w:val="clear" w:color="auto" w:fill="FFFFFF"/>
        </w:rPr>
        <w:t xml:space="preserve">中国体育仲裁委员会关于完善体育仲裁制度衔接的建议函  中体仲字〔2O23〕9号 </w:t>
      </w:r>
    </w:p>
    <w:p w14:paraId="61C66A51">
      <w:pPr>
        <w:pStyle w:val="66"/>
        <w:numPr>
          <w:ilvl w:val="0"/>
          <w:numId w:val="47"/>
        </w:numPr>
        <w:ind w:firstLine="420"/>
        <w:rPr>
          <w:color w:val="auto"/>
          <w:shd w:val="clear" w:color="auto" w:fill="FFFFFF"/>
        </w:rPr>
      </w:pPr>
      <w:r>
        <w:rPr>
          <w:rFonts w:hint="eastAsia"/>
          <w:color w:val="auto"/>
          <w:shd w:val="clear" w:color="auto" w:fill="FFFFFF"/>
        </w:rPr>
        <w:t>中共中央办公厅 国务院办公厅印发《关于进一步减轻义务教育阶段学生作业负担和校外培训负担的意见》</w:t>
      </w:r>
    </w:p>
    <w:p w14:paraId="29752F82">
      <w:pPr>
        <w:pStyle w:val="66"/>
        <w:numPr>
          <w:ilvl w:val="0"/>
          <w:numId w:val="47"/>
        </w:numPr>
        <w:ind w:firstLine="420"/>
        <w:rPr>
          <w:color w:val="auto"/>
          <w:shd w:val="clear" w:color="auto" w:fill="FFFFFF"/>
        </w:rPr>
      </w:pPr>
      <w:r>
        <w:rPr>
          <w:rFonts w:hint="eastAsia"/>
          <w:color w:val="auto"/>
          <w:shd w:val="clear" w:color="auto" w:fill="FFFFFF"/>
        </w:rPr>
        <w:t>关于事业单位和社会团体有关收费管理问题的通知  财规〔2000〕47号</w:t>
      </w:r>
    </w:p>
    <w:p w14:paraId="46F00CFF">
      <w:pPr>
        <w:pStyle w:val="66"/>
        <w:numPr>
          <w:ilvl w:val="0"/>
          <w:numId w:val="47"/>
        </w:numPr>
        <w:ind w:firstLine="420"/>
        <w:rPr>
          <w:color w:val="auto"/>
          <w:shd w:val="clear" w:color="auto" w:fill="FFFFFF"/>
        </w:rPr>
      </w:pPr>
      <w:r>
        <w:rPr>
          <w:rFonts w:hint="eastAsia"/>
          <w:color w:val="auto"/>
          <w:shd w:val="clear" w:color="auto" w:fill="FFFFFF"/>
        </w:rPr>
        <w:t>民政部 财政部关于取消社会团体会费标准备案规范会费管理的通知  民发〔2014〕166号</w:t>
      </w:r>
    </w:p>
    <w:p w14:paraId="7F0E023A">
      <w:pPr>
        <w:pStyle w:val="66"/>
        <w:numPr>
          <w:ilvl w:val="0"/>
          <w:numId w:val="47"/>
        </w:numPr>
        <w:ind w:firstLine="420"/>
        <w:rPr>
          <w:color w:val="auto"/>
          <w:shd w:val="clear" w:color="auto" w:fill="FFFFFF"/>
        </w:rPr>
      </w:pPr>
      <w:r>
        <w:rPr>
          <w:rFonts w:hint="eastAsia"/>
          <w:color w:val="auto"/>
          <w:shd w:val="clear" w:color="auto" w:fill="FFFFFF"/>
        </w:rPr>
        <w:t>体育赛事活动管理办法 国家体育总局令 第31号</w:t>
      </w:r>
    </w:p>
    <w:p w14:paraId="59E38476">
      <w:pPr>
        <w:pStyle w:val="66"/>
        <w:numPr>
          <w:ilvl w:val="0"/>
          <w:numId w:val="47"/>
        </w:numPr>
        <w:ind w:firstLine="420"/>
        <w:rPr>
          <w:rFonts w:hint="eastAsia"/>
          <w:color w:val="auto"/>
          <w:shd w:val="clear" w:color="auto" w:fill="FFFFFF"/>
        </w:rPr>
      </w:pPr>
      <w:r>
        <w:rPr>
          <w:rFonts w:hint="eastAsia"/>
          <w:color w:val="auto"/>
          <w:shd w:val="clear" w:color="auto" w:fill="FFFFFF"/>
        </w:rPr>
        <w:t>体育总局</w:t>
      </w:r>
      <w:r>
        <w:rPr>
          <w:rFonts w:hint="eastAsia"/>
          <w:color w:val="auto"/>
          <w:shd w:val="clear" w:color="auto" w:fill="FFFFFF"/>
          <w:lang w:eastAsia="zh-CN"/>
        </w:rPr>
        <w:t>、</w:t>
      </w:r>
      <w:r>
        <w:rPr>
          <w:rFonts w:hint="eastAsia"/>
          <w:color w:val="auto"/>
          <w:shd w:val="clear" w:color="auto" w:fill="FFFFFF"/>
        </w:rPr>
        <w:t>公安部关于加强体育赛场行为规范管理的若干意见</w:t>
      </w:r>
      <w:r>
        <w:rPr>
          <w:rFonts w:hint="eastAsia"/>
          <w:color w:val="auto"/>
          <w:shd w:val="clear" w:color="auto" w:fill="FFFFFF"/>
          <w:lang w:val="en-US" w:eastAsia="zh-CN"/>
        </w:rPr>
        <w:t xml:space="preserve">  </w:t>
      </w:r>
      <w:r>
        <w:rPr>
          <w:rFonts w:hint="eastAsia"/>
          <w:color w:val="auto"/>
          <w:shd w:val="clear" w:color="auto" w:fill="FFFFFF"/>
        </w:rPr>
        <w:t>体规字〔2021〕2号</w:t>
      </w:r>
    </w:p>
    <w:p w14:paraId="5031C7B9">
      <w:pPr>
        <w:pStyle w:val="66"/>
        <w:numPr>
          <w:ilvl w:val="0"/>
          <w:numId w:val="47"/>
        </w:numPr>
        <w:ind w:firstLine="420"/>
        <w:rPr>
          <w:color w:val="auto"/>
          <w:shd w:val="clear" w:color="auto" w:fill="FFFFFF"/>
        </w:rPr>
      </w:pPr>
      <w:r>
        <w:rPr>
          <w:rFonts w:hint="eastAsia"/>
          <w:color w:val="auto"/>
          <w:shd w:val="clear" w:color="auto" w:fill="FFFFFF"/>
        </w:rPr>
        <w:t>关于进一步加强体育赛事活动安全监管服务的意见  体规字〔2021〕3号</w:t>
      </w:r>
    </w:p>
    <w:p w14:paraId="13822BA4">
      <w:pPr>
        <w:pStyle w:val="66"/>
        <w:numPr>
          <w:ilvl w:val="0"/>
          <w:numId w:val="47"/>
        </w:numPr>
        <w:ind w:firstLine="420"/>
        <w:rPr>
          <w:color w:val="auto"/>
          <w:shd w:val="clear" w:color="auto" w:fill="FFFFFF"/>
        </w:rPr>
      </w:pPr>
      <w:r>
        <w:rPr>
          <w:rFonts w:hint="eastAsia"/>
          <w:color w:val="auto"/>
          <w:shd w:val="clear" w:color="auto" w:fill="FFFFFF"/>
        </w:rPr>
        <w:t>体育总局关于建立健全体育赛事活动“熔断”机制的通知  体规字〔2022〕3号</w:t>
      </w:r>
    </w:p>
    <w:p w14:paraId="1E7266FE">
      <w:pPr>
        <w:pStyle w:val="66"/>
        <w:numPr>
          <w:ilvl w:val="0"/>
          <w:numId w:val="47"/>
        </w:numPr>
        <w:ind w:firstLine="420"/>
        <w:rPr>
          <w:color w:val="auto"/>
          <w:shd w:val="clear" w:color="auto" w:fill="FFFFFF"/>
        </w:rPr>
      </w:pPr>
      <w:r>
        <w:rPr>
          <w:rFonts w:hint="eastAsia"/>
          <w:color w:val="auto"/>
          <w:shd w:val="clear" w:color="auto" w:fill="FFFFFF"/>
        </w:rPr>
        <w:t>体育总局办公厅关于做好课外体育培训行业服务监管工作的通知</w:t>
      </w:r>
    </w:p>
    <w:p w14:paraId="3537EA3E">
      <w:pPr>
        <w:pStyle w:val="66"/>
        <w:numPr>
          <w:ilvl w:val="0"/>
          <w:numId w:val="47"/>
        </w:numPr>
        <w:ind w:firstLine="420"/>
        <w:rPr>
          <w:color w:val="auto"/>
          <w:shd w:val="clear" w:color="auto" w:fill="FFFFFF"/>
        </w:rPr>
      </w:pPr>
      <w:r>
        <w:rPr>
          <w:rFonts w:hint="eastAsia"/>
          <w:color w:val="auto"/>
          <w:shd w:val="clear" w:color="auto" w:fill="FFFFFF"/>
        </w:rPr>
        <w:t>体育总局办公厅关于印发《课外体育培训行为规范》的通知</w:t>
      </w:r>
    </w:p>
    <w:p w14:paraId="6196FE43">
      <w:pPr>
        <w:pStyle w:val="66"/>
        <w:numPr>
          <w:ilvl w:val="0"/>
          <w:numId w:val="47"/>
        </w:numPr>
        <w:ind w:firstLine="420"/>
        <w:rPr>
          <w:color w:val="auto"/>
          <w:shd w:val="clear" w:color="auto" w:fill="FFFFFF"/>
        </w:rPr>
      </w:pPr>
      <w:r>
        <w:rPr>
          <w:rFonts w:hint="eastAsia"/>
          <w:color w:val="auto"/>
          <w:shd w:val="clear" w:color="auto" w:fill="FFFFFF"/>
        </w:rPr>
        <w:t>全国运动员注册与交流管理办法（试行）</w:t>
      </w:r>
    </w:p>
    <w:p w14:paraId="28E8B6DE">
      <w:pPr>
        <w:pStyle w:val="66"/>
        <w:numPr>
          <w:ilvl w:val="0"/>
          <w:numId w:val="47"/>
        </w:numPr>
        <w:ind w:firstLine="420"/>
        <w:rPr>
          <w:color w:val="auto"/>
          <w:shd w:val="clear" w:color="auto" w:fill="FFFFFF"/>
        </w:rPr>
      </w:pPr>
      <w:r>
        <w:rPr>
          <w:rFonts w:hint="eastAsia"/>
          <w:color w:val="auto"/>
          <w:shd w:val="clear" w:color="auto" w:fill="FFFFFF"/>
        </w:rPr>
        <w:t>教育部等六部门关于加强校外培训机构预收费监管工作的通知  教监管函〔2021〕2号</w:t>
      </w:r>
    </w:p>
    <w:p w14:paraId="2AE6ACC1">
      <w:pPr>
        <w:pStyle w:val="66"/>
        <w:numPr>
          <w:ilvl w:val="0"/>
          <w:numId w:val="47"/>
        </w:numPr>
        <w:ind w:firstLine="420"/>
        <w:rPr>
          <w:color w:val="auto"/>
          <w:shd w:val="clear" w:color="auto" w:fill="FFFFFF"/>
        </w:rPr>
      </w:pPr>
      <w:r>
        <w:rPr>
          <w:rFonts w:hint="eastAsia"/>
          <w:color w:val="auto"/>
          <w:shd w:val="clear" w:color="auto" w:fill="FFFFFF"/>
        </w:rPr>
        <w:t>广东省体育局 广东省教育厅关于印发《广东省体育类校外培训机构设置标准（试行）》的通知  粤体规〔2022〕3号</w:t>
      </w:r>
    </w:p>
    <w:p w14:paraId="10EB3174">
      <w:pPr>
        <w:pStyle w:val="66"/>
        <w:numPr>
          <w:ilvl w:val="0"/>
          <w:numId w:val="47"/>
        </w:numPr>
        <w:ind w:firstLine="420"/>
        <w:rPr>
          <w:rFonts w:hint="eastAsia"/>
          <w:color w:val="auto"/>
          <w:shd w:val="clear" w:color="auto" w:fill="FFFFFF"/>
        </w:rPr>
      </w:pPr>
      <w:r>
        <w:rPr>
          <w:rFonts w:hint="eastAsia"/>
          <w:color w:val="auto"/>
          <w:shd w:val="clear" w:color="auto" w:fill="FFFFFF"/>
        </w:rPr>
        <w:t>广东省行业协会条例</w:t>
      </w:r>
      <w:r>
        <w:rPr>
          <w:rFonts w:hint="eastAsia"/>
          <w:color w:val="auto"/>
          <w:shd w:val="clear" w:color="auto" w:fill="FFFFFF"/>
          <w:lang w:val="en-US" w:eastAsia="zh-CN"/>
        </w:rPr>
        <w:t xml:space="preserve"> </w:t>
      </w:r>
      <w:r>
        <w:rPr>
          <w:rFonts w:hint="eastAsia"/>
          <w:color w:val="auto"/>
          <w:shd w:val="clear" w:color="auto" w:fill="FFFFFF"/>
        </w:rPr>
        <w:t>广东省第十届人民代表大会常务委员会公告（第53号）</w:t>
      </w:r>
    </w:p>
    <w:p w14:paraId="13129741">
      <w:pPr>
        <w:pStyle w:val="66"/>
        <w:numPr>
          <w:ilvl w:val="0"/>
          <w:numId w:val="47"/>
        </w:numPr>
        <w:ind w:firstLine="420"/>
        <w:rPr>
          <w:color w:val="auto"/>
          <w:shd w:val="clear" w:color="auto" w:fill="FFFFFF"/>
        </w:rPr>
      </w:pPr>
      <w:r>
        <w:rPr>
          <w:rFonts w:hint="eastAsia"/>
          <w:color w:val="auto"/>
          <w:shd w:val="clear" w:color="auto" w:fill="FFFFFF"/>
        </w:rPr>
        <w:t>广东省全省性行业协会商会社会团体评估评分细则（试行）</w:t>
      </w:r>
    </w:p>
    <w:p w14:paraId="6E37DC57">
      <w:pPr>
        <w:pStyle w:val="66"/>
        <w:numPr>
          <w:ilvl w:val="0"/>
          <w:numId w:val="47"/>
        </w:numPr>
        <w:ind w:firstLine="420"/>
        <w:rPr>
          <w:color w:val="auto"/>
          <w:shd w:val="clear" w:color="auto" w:fill="FFFFFF"/>
        </w:rPr>
      </w:pPr>
      <w:r>
        <w:rPr>
          <w:rFonts w:hint="eastAsia"/>
          <w:color w:val="auto"/>
          <w:shd w:val="clear" w:color="auto" w:fill="FFFFFF"/>
        </w:rPr>
        <w:t>广东省省级体育社会团体成立登记、变更和年检前置审查工作指南（试行）</w:t>
      </w:r>
    </w:p>
    <w:p w14:paraId="635E57CC">
      <w:pPr>
        <w:pStyle w:val="66"/>
        <w:numPr>
          <w:ilvl w:val="0"/>
          <w:numId w:val="47"/>
        </w:numPr>
        <w:ind w:firstLine="420"/>
        <w:rPr>
          <w:color w:val="auto"/>
          <w:shd w:val="clear" w:color="auto" w:fill="FFFFFF"/>
        </w:rPr>
      </w:pPr>
      <w:r>
        <w:rPr>
          <w:rFonts w:hint="eastAsia"/>
          <w:color w:val="auto"/>
          <w:shd w:val="clear" w:color="auto" w:fill="FFFFFF"/>
        </w:rPr>
        <w:t>广东省体育局关于印发《促进省级体育社会团体健康有序发展的实施意见（试行）》的通知  粤体群〔2021〕20号</w:t>
      </w:r>
    </w:p>
    <w:p w14:paraId="596809C4">
      <w:pPr>
        <w:pStyle w:val="66"/>
        <w:numPr>
          <w:ilvl w:val="0"/>
          <w:numId w:val="47"/>
        </w:numPr>
        <w:ind w:firstLine="420"/>
        <w:rPr>
          <w:color w:val="auto"/>
          <w:shd w:val="clear" w:color="auto" w:fill="FFFFFF"/>
        </w:rPr>
      </w:pPr>
      <w:r>
        <w:rPr>
          <w:rFonts w:hint="eastAsia"/>
          <w:color w:val="auto"/>
          <w:shd w:val="clear" w:color="auto" w:fill="FFFFFF"/>
        </w:rPr>
        <w:t>广东省民政厅关于社会团体名称规范的意见  粤民函〔2016〕840号</w:t>
      </w:r>
    </w:p>
    <w:p w14:paraId="02C3D9AC">
      <w:pPr>
        <w:pStyle w:val="66"/>
        <w:numPr>
          <w:ilvl w:val="0"/>
          <w:numId w:val="47"/>
        </w:numPr>
        <w:ind w:firstLine="420"/>
        <w:rPr>
          <w:color w:val="auto"/>
          <w:shd w:val="clear" w:color="auto" w:fill="FFFFFF"/>
        </w:rPr>
      </w:pPr>
      <w:r>
        <w:rPr>
          <w:rFonts w:hint="eastAsia"/>
          <w:color w:val="auto"/>
          <w:shd w:val="clear" w:color="auto" w:fill="FFFFFF"/>
        </w:rPr>
        <w:t>广东省民政厅关于《全省性行业协会商会负责人任职管理的办法（试行）》的通知  粤民发〔2016〕171号</w:t>
      </w:r>
    </w:p>
    <w:p w14:paraId="162DA7C5">
      <w:pPr>
        <w:pStyle w:val="66"/>
        <w:numPr>
          <w:ilvl w:val="0"/>
          <w:numId w:val="47"/>
        </w:numPr>
        <w:ind w:firstLine="420"/>
        <w:rPr>
          <w:color w:val="auto"/>
          <w:shd w:val="clear" w:color="auto" w:fill="FFFFFF"/>
        </w:rPr>
      </w:pPr>
      <w:r>
        <w:rPr>
          <w:rFonts w:hint="eastAsia"/>
          <w:color w:val="auto"/>
          <w:shd w:val="clear" w:color="auto" w:fill="FFFFFF"/>
        </w:rPr>
        <w:t>广东省党支部规范化建设指导意见 粤组通〔2018〕44号</w:t>
      </w:r>
    </w:p>
    <w:p w14:paraId="29E2C301">
      <w:pPr>
        <w:pStyle w:val="66"/>
        <w:numPr>
          <w:ilvl w:val="0"/>
          <w:numId w:val="47"/>
        </w:numPr>
        <w:ind w:firstLine="420"/>
        <w:rPr>
          <w:color w:val="auto"/>
          <w:shd w:val="clear" w:color="auto" w:fill="FFFFFF"/>
        </w:rPr>
      </w:pPr>
      <w:r>
        <w:rPr>
          <w:rFonts w:hint="eastAsia"/>
          <w:color w:val="auto"/>
          <w:shd w:val="clear" w:color="auto" w:fill="FFFFFF"/>
        </w:rPr>
        <w:t>广东省民政厅关于印发《广东省社会团体章程示范文本》的通知  粤民函〔2021〕416号</w:t>
      </w:r>
    </w:p>
    <w:p w14:paraId="32ECBB8A">
      <w:pPr>
        <w:pStyle w:val="66"/>
        <w:numPr>
          <w:ilvl w:val="0"/>
          <w:numId w:val="47"/>
        </w:numPr>
        <w:ind w:firstLine="420"/>
        <w:rPr>
          <w:color w:val="auto"/>
          <w:shd w:val="clear" w:color="auto" w:fill="FFFFFF"/>
        </w:rPr>
      </w:pPr>
      <w:r>
        <w:rPr>
          <w:rFonts w:hint="eastAsia"/>
          <w:color w:val="auto"/>
          <w:shd w:val="clear" w:color="auto" w:fill="FFFFFF"/>
        </w:rPr>
        <w:t>广东省非公有制经济组织和社会组织党建工作财政专项经费使用管理暂行办法  粤组通〔2012〕72 号</w:t>
      </w:r>
    </w:p>
    <w:p w14:paraId="437B41C6">
      <w:pPr>
        <w:pStyle w:val="66"/>
        <w:numPr>
          <w:ilvl w:val="0"/>
          <w:numId w:val="47"/>
        </w:numPr>
        <w:ind w:firstLine="420"/>
        <w:rPr>
          <w:color w:val="auto"/>
          <w:shd w:val="clear" w:color="auto" w:fill="FFFFFF"/>
        </w:rPr>
      </w:pPr>
      <w:r>
        <w:rPr>
          <w:rFonts w:hint="eastAsia"/>
          <w:color w:val="auto"/>
          <w:shd w:val="clear" w:color="auto" w:fill="FFFFFF"/>
        </w:rPr>
        <w:t>社会组织评比达标表彰活动管理办法  国评组发〔2022〕3号</w:t>
      </w:r>
    </w:p>
    <w:p w14:paraId="35035407">
      <w:pPr>
        <w:pStyle w:val="66"/>
        <w:numPr>
          <w:ilvl w:val="0"/>
          <w:numId w:val="47"/>
        </w:numPr>
        <w:ind w:firstLine="420"/>
        <w:rPr>
          <w:color w:val="auto"/>
          <w:shd w:val="clear" w:color="auto" w:fill="FFFFFF"/>
        </w:rPr>
      </w:pPr>
      <w:r>
        <w:rPr>
          <w:rFonts w:hint="eastAsia"/>
          <w:color w:val="auto"/>
          <w:shd w:val="clear" w:color="auto" w:fill="FFFFFF"/>
        </w:rPr>
        <w:t>广东省社会团体财务管理办法  粤民社〔1999〕第7号</w:t>
      </w:r>
    </w:p>
    <w:p w14:paraId="1FE2D9D1">
      <w:pPr>
        <w:pStyle w:val="66"/>
        <w:numPr>
          <w:ilvl w:val="0"/>
          <w:numId w:val="47"/>
        </w:numPr>
        <w:ind w:firstLine="420"/>
        <w:rPr>
          <w:color w:val="auto"/>
          <w:shd w:val="clear" w:color="auto" w:fill="FFFFFF"/>
        </w:rPr>
      </w:pPr>
      <w:r>
        <w:rPr>
          <w:rFonts w:hint="eastAsia"/>
          <w:color w:val="auto"/>
          <w:shd w:val="clear" w:color="auto" w:fill="FFFFFF"/>
        </w:rPr>
        <w:t xml:space="preserve">关于通过政府购买服务支持社会组织培育发展的指导意见  财综〔2016〕54号 </w:t>
      </w:r>
    </w:p>
    <w:p w14:paraId="237E70DD">
      <w:pPr>
        <w:pStyle w:val="66"/>
        <w:numPr>
          <w:ilvl w:val="0"/>
          <w:numId w:val="47"/>
        </w:numPr>
        <w:ind w:firstLine="420"/>
        <w:rPr>
          <w:color w:val="auto"/>
          <w:shd w:val="clear" w:color="auto" w:fill="FFFFFF"/>
        </w:rPr>
      </w:pPr>
      <w:r>
        <w:rPr>
          <w:rFonts w:hint="eastAsia"/>
          <w:color w:val="auto"/>
          <w:shd w:val="clear" w:color="auto" w:fill="FFFFFF"/>
        </w:rPr>
        <w:t>广东省人民政府办公厅关于印发政府向社会力量购买服务暂行办法的通知</w:t>
      </w:r>
    </w:p>
    <w:p w14:paraId="3966A612">
      <w:pPr>
        <w:pStyle w:val="66"/>
        <w:numPr>
          <w:ilvl w:val="0"/>
          <w:numId w:val="47"/>
        </w:numPr>
        <w:ind w:firstLine="420"/>
        <w:rPr>
          <w:color w:val="auto"/>
          <w:shd w:val="clear" w:color="auto" w:fill="FFFFFF"/>
        </w:rPr>
      </w:pPr>
      <w:r>
        <w:rPr>
          <w:rFonts w:hint="eastAsia"/>
          <w:color w:val="auto"/>
          <w:shd w:val="clear" w:color="auto" w:fill="FFFFFF"/>
        </w:rPr>
        <w:t>全民健身计划（2021—2025年）</w:t>
      </w:r>
    </w:p>
    <w:p w14:paraId="3317480D">
      <w:pPr>
        <w:pStyle w:val="66"/>
        <w:numPr>
          <w:ilvl w:val="0"/>
          <w:numId w:val="47"/>
        </w:numPr>
        <w:ind w:firstLine="420"/>
        <w:rPr>
          <w:color w:val="auto"/>
          <w:shd w:val="clear" w:color="auto" w:fill="FFFFFF"/>
        </w:rPr>
      </w:pPr>
      <w:r>
        <w:rPr>
          <w:rFonts w:hint="eastAsia"/>
          <w:color w:val="auto"/>
          <w:shd w:val="clear" w:color="auto" w:fill="FFFFFF"/>
        </w:rPr>
        <w:t>关于进一步加强体育赛事活动安全监管服务的意见</w:t>
      </w:r>
    </w:p>
    <w:p w14:paraId="4936E66F">
      <w:pPr>
        <w:pStyle w:val="66"/>
        <w:numPr>
          <w:ilvl w:val="0"/>
          <w:numId w:val="47"/>
        </w:numPr>
        <w:ind w:firstLine="420"/>
        <w:rPr>
          <w:rFonts w:hint="eastAsia"/>
          <w:color w:val="auto"/>
          <w:shd w:val="clear" w:color="auto" w:fill="FFFFFF"/>
        </w:rPr>
      </w:pPr>
      <w:r>
        <w:rPr>
          <w:rFonts w:hint="eastAsia"/>
          <w:color w:val="auto"/>
          <w:shd w:val="clear" w:color="auto" w:fill="FFFFFF"/>
        </w:rPr>
        <w:t>体育总局、公安部关于严肃查处赌博、假球等违规违纪违法行为 切实强化行业自律自治的通知</w:t>
      </w:r>
      <w:r>
        <w:rPr>
          <w:rFonts w:hint="eastAsia"/>
          <w:color w:val="auto"/>
          <w:shd w:val="clear" w:color="auto" w:fill="FFFFFF"/>
          <w:lang w:val="en-US" w:eastAsia="zh-CN"/>
        </w:rPr>
        <w:t xml:space="preserve">  </w:t>
      </w:r>
      <w:r>
        <w:rPr>
          <w:rFonts w:hint="eastAsia"/>
          <w:color w:val="auto"/>
          <w:shd w:val="clear" w:color="auto" w:fill="FFFFFF"/>
        </w:rPr>
        <w:t>体规字〔2021〕11号</w:t>
      </w:r>
    </w:p>
    <w:p w14:paraId="430C49EA">
      <w:pPr>
        <w:pStyle w:val="66"/>
        <w:numPr>
          <w:ilvl w:val="0"/>
          <w:numId w:val="47"/>
        </w:numPr>
        <w:ind w:firstLine="420"/>
        <w:rPr>
          <w:color w:val="auto"/>
          <w:shd w:val="clear" w:color="auto" w:fill="FFFFFF"/>
        </w:rPr>
      </w:pPr>
      <w:r>
        <w:rPr>
          <w:rFonts w:hint="eastAsia"/>
          <w:color w:val="auto"/>
          <w:shd w:val="clear" w:color="auto" w:fill="FFFFFF"/>
        </w:rPr>
        <w:t>市场监管总局 中央社会工作部 民政部关于发布《行业协会商会收费行为合规指南》的公告 2024年第32号</w:t>
      </w:r>
    </w:p>
    <w:p w14:paraId="4DE181C8">
      <w:pPr>
        <w:pStyle w:val="66"/>
        <w:numPr>
          <w:ilvl w:val="0"/>
          <w:numId w:val="47"/>
        </w:numPr>
        <w:ind w:firstLine="420"/>
        <w:rPr>
          <w:rFonts w:hint="eastAsia"/>
          <w:color w:val="auto"/>
          <w:shd w:val="clear" w:color="auto" w:fill="FFFFFF"/>
        </w:rPr>
      </w:pPr>
      <w:r>
        <w:rPr>
          <w:rFonts w:hint="eastAsia"/>
          <w:color w:val="auto"/>
          <w:shd w:val="clear" w:color="auto" w:fill="FFFFFF"/>
        </w:rPr>
        <w:t>关于进一步加强广东省体育赛事活动安全监管服务工作的通知</w:t>
      </w:r>
      <w:r>
        <w:rPr>
          <w:rFonts w:hint="eastAsia"/>
          <w:color w:val="auto"/>
          <w:shd w:val="clear" w:color="auto" w:fill="FFFFFF"/>
          <w:lang w:val="en-US" w:eastAsia="zh-CN"/>
        </w:rPr>
        <w:t xml:space="preserve">  </w:t>
      </w:r>
      <w:r>
        <w:rPr>
          <w:rFonts w:hint="eastAsia"/>
          <w:color w:val="auto"/>
          <w:shd w:val="clear" w:color="auto" w:fill="FFFFFF"/>
        </w:rPr>
        <w:t>粤体规〔2022〕2号</w:t>
      </w:r>
    </w:p>
    <w:p w14:paraId="59D5CE9D">
      <w:pPr>
        <w:pStyle w:val="66"/>
        <w:numPr>
          <w:ilvl w:val="0"/>
          <w:numId w:val="47"/>
        </w:numPr>
        <w:ind w:firstLine="420"/>
        <w:rPr>
          <w:rFonts w:hint="eastAsia"/>
          <w:color w:val="auto"/>
          <w:shd w:val="clear" w:color="auto" w:fill="FFFFFF"/>
        </w:rPr>
      </w:pPr>
      <w:r>
        <w:rPr>
          <w:rFonts w:hint="eastAsia"/>
          <w:color w:val="auto"/>
          <w:shd w:val="clear" w:color="auto" w:fill="FFFFFF"/>
        </w:rPr>
        <w:t>广东省民政厅关于社会组织年度工作报告的实施办法（试行）</w:t>
      </w:r>
      <w:r>
        <w:rPr>
          <w:rFonts w:hint="eastAsia"/>
          <w:color w:val="auto"/>
          <w:shd w:val="clear" w:color="auto" w:fill="FFFFFF"/>
          <w:lang w:val="en-US" w:eastAsia="zh-CN"/>
        </w:rPr>
        <w:t xml:space="preserve"> </w:t>
      </w:r>
      <w:r>
        <w:rPr>
          <w:rFonts w:hint="eastAsia"/>
          <w:color w:val="auto"/>
          <w:shd w:val="clear" w:color="auto" w:fill="FFFFFF"/>
        </w:rPr>
        <w:t>粤民规字〔2019〕3号</w:t>
      </w:r>
    </w:p>
    <w:p w14:paraId="231D5E5D">
      <w:pPr>
        <w:pStyle w:val="66"/>
        <w:numPr>
          <w:ilvl w:val="0"/>
          <w:numId w:val="47"/>
        </w:numPr>
        <w:ind w:firstLine="420"/>
        <w:rPr>
          <w:color w:val="auto"/>
          <w:shd w:val="clear" w:color="auto" w:fill="FFFFFF"/>
        </w:rPr>
      </w:pPr>
      <w:r>
        <w:rPr>
          <w:rFonts w:hint="eastAsia"/>
          <w:color w:val="auto"/>
          <w:shd w:val="clear" w:color="auto" w:fill="FFFFFF"/>
        </w:rPr>
        <w:t>广东省民政厅关于社会组织法人治理的指导意见  粤民发〔2015〕70号</w:t>
      </w:r>
    </w:p>
    <w:p w14:paraId="2C339CC2">
      <w:pPr>
        <w:pStyle w:val="66"/>
        <w:numPr>
          <w:ilvl w:val="0"/>
          <w:numId w:val="47"/>
        </w:numPr>
        <w:ind w:firstLine="420"/>
        <w:rPr>
          <w:color w:val="auto"/>
          <w:shd w:val="clear" w:color="auto" w:fill="FFFFFF"/>
        </w:rPr>
      </w:pPr>
      <w:r>
        <w:rPr>
          <w:rFonts w:hint="eastAsia"/>
          <w:color w:val="auto"/>
          <w:shd w:val="clear" w:color="auto" w:fill="FFFFFF"/>
        </w:rPr>
        <w:t>广东省大型群众性活动安全管理办法  广东省人民政府令第210号</w:t>
      </w:r>
    </w:p>
    <w:p w14:paraId="7ADF8CA1">
      <w:pPr>
        <w:pStyle w:val="66"/>
        <w:numPr>
          <w:ilvl w:val="0"/>
          <w:numId w:val="47"/>
        </w:numPr>
        <w:ind w:firstLine="420"/>
        <w:rPr>
          <w:rFonts w:hint="eastAsia"/>
          <w:color w:val="auto"/>
          <w:shd w:val="clear" w:color="auto" w:fill="FFFFFF"/>
        </w:rPr>
      </w:pPr>
      <w:r>
        <w:rPr>
          <w:rFonts w:hint="eastAsia"/>
          <w:color w:val="auto"/>
          <w:shd w:val="clear" w:color="auto" w:fill="FFFFFF"/>
        </w:rPr>
        <w:t>广东省全民健身条例</w:t>
      </w:r>
      <w:r>
        <w:rPr>
          <w:rFonts w:hint="eastAsia"/>
          <w:color w:val="auto"/>
          <w:shd w:val="clear" w:color="auto" w:fill="FFFFFF"/>
          <w:lang w:val="en-US" w:eastAsia="zh-CN"/>
        </w:rPr>
        <w:t xml:space="preserve"> </w:t>
      </w:r>
      <w:r>
        <w:rPr>
          <w:rFonts w:hint="eastAsia"/>
          <w:color w:val="auto"/>
          <w:shd w:val="clear" w:color="auto" w:fill="FFFFFF"/>
        </w:rPr>
        <w:t>广东省第十三届人民代表大会常务委员会公告（第39号）</w:t>
      </w:r>
    </w:p>
    <w:p w14:paraId="211FC513">
      <w:pPr>
        <w:pStyle w:val="66"/>
        <w:numPr>
          <w:ilvl w:val="0"/>
          <w:numId w:val="47"/>
        </w:numPr>
        <w:ind w:firstLine="420"/>
        <w:rPr>
          <w:color w:val="auto"/>
          <w:shd w:val="clear" w:color="auto" w:fill="FFFFFF"/>
        </w:rPr>
      </w:pPr>
      <w:r>
        <w:rPr>
          <w:rFonts w:hint="eastAsia"/>
          <w:color w:val="auto"/>
          <w:shd w:val="clear" w:color="auto" w:fill="FFFFFF"/>
        </w:rPr>
        <w:t>广东省高危险性体育项目经营活动管理规定</w:t>
      </w:r>
      <w:r>
        <w:rPr>
          <w:rFonts w:hint="eastAsia"/>
          <w:color w:val="auto"/>
          <w:shd w:val="clear" w:color="auto" w:fill="FFFFFF"/>
          <w:lang w:val="en-US" w:eastAsia="zh-CN"/>
        </w:rPr>
        <w:t xml:space="preserve"> </w:t>
      </w:r>
      <w:r>
        <w:rPr>
          <w:rFonts w:hint="eastAsia"/>
          <w:color w:val="auto"/>
          <w:shd w:val="clear" w:color="auto" w:fill="FFFFFF"/>
        </w:rPr>
        <w:t>广东省第十三届人民代表大会常务委员会公告（第</w:t>
      </w:r>
      <w:r>
        <w:rPr>
          <w:rFonts w:hint="eastAsia"/>
          <w:color w:val="auto"/>
          <w:shd w:val="clear" w:color="auto" w:fill="FFFFFF"/>
          <w:lang w:val="en-US" w:eastAsia="zh-CN"/>
        </w:rPr>
        <w:t>72</w:t>
      </w:r>
      <w:r>
        <w:rPr>
          <w:rFonts w:hint="eastAsia"/>
          <w:color w:val="auto"/>
          <w:shd w:val="clear" w:color="auto" w:fill="FFFFFF"/>
        </w:rPr>
        <w:t>号）</w:t>
      </w:r>
    </w:p>
    <w:p w14:paraId="51BBAE81">
      <w:pPr>
        <w:pStyle w:val="66"/>
        <w:numPr>
          <w:ilvl w:val="0"/>
          <w:numId w:val="47"/>
        </w:numPr>
        <w:ind w:firstLine="420"/>
        <w:rPr>
          <w:color w:val="auto"/>
          <w:shd w:val="clear" w:color="auto" w:fill="FFFFFF"/>
        </w:rPr>
      </w:pPr>
      <w:r>
        <w:rPr>
          <w:rFonts w:hint="eastAsia"/>
          <w:color w:val="auto"/>
          <w:shd w:val="clear" w:color="auto" w:fill="FFFFFF"/>
        </w:rPr>
        <w:t>广东省体育赛事活动管理细则</w:t>
      </w:r>
      <w:r>
        <w:rPr>
          <w:rFonts w:hint="eastAsia"/>
          <w:color w:val="auto"/>
          <w:shd w:val="clear" w:color="auto" w:fill="FFFFFF"/>
          <w:lang w:val="en-US" w:eastAsia="zh-CN"/>
        </w:rPr>
        <w:t xml:space="preserve"> </w:t>
      </w:r>
      <w:r>
        <w:rPr>
          <w:rFonts w:hint="eastAsia"/>
          <w:color w:val="auto"/>
          <w:shd w:val="clear" w:color="auto" w:fill="FFFFFF"/>
        </w:rPr>
        <w:t>粤</w:t>
      </w:r>
      <w:r>
        <w:rPr>
          <w:rFonts w:hint="eastAsia"/>
          <w:color w:val="auto"/>
          <w:shd w:val="clear" w:color="auto" w:fill="FFFFFF"/>
          <w:lang w:val="en-US" w:eastAsia="zh-CN"/>
        </w:rPr>
        <w:t>体规</w:t>
      </w:r>
      <w:r>
        <w:rPr>
          <w:rFonts w:hint="eastAsia"/>
          <w:color w:val="auto"/>
          <w:shd w:val="clear" w:color="auto" w:fill="FFFFFF"/>
        </w:rPr>
        <w:t>〔20</w:t>
      </w:r>
      <w:r>
        <w:rPr>
          <w:rFonts w:hint="eastAsia"/>
          <w:color w:val="auto"/>
          <w:shd w:val="clear" w:color="auto" w:fill="FFFFFF"/>
          <w:lang w:val="en-US" w:eastAsia="zh-CN"/>
        </w:rPr>
        <w:t>24</w:t>
      </w:r>
      <w:r>
        <w:rPr>
          <w:rFonts w:hint="eastAsia"/>
          <w:color w:val="auto"/>
          <w:shd w:val="clear" w:color="auto" w:fill="FFFFFF"/>
        </w:rPr>
        <w:t>〕</w:t>
      </w:r>
      <w:r>
        <w:rPr>
          <w:rFonts w:hint="eastAsia"/>
          <w:color w:val="auto"/>
          <w:shd w:val="clear" w:color="auto" w:fill="FFFFFF"/>
          <w:lang w:val="en-US" w:eastAsia="zh-CN"/>
        </w:rPr>
        <w:t>2</w:t>
      </w:r>
      <w:r>
        <w:rPr>
          <w:rFonts w:hint="eastAsia"/>
          <w:color w:val="auto"/>
          <w:shd w:val="clear" w:color="auto" w:fill="FFFFFF"/>
        </w:rPr>
        <w:t>号</w:t>
      </w:r>
    </w:p>
    <w:p w14:paraId="284B7564">
      <w:pPr>
        <w:pStyle w:val="66"/>
        <w:numPr>
          <w:ilvl w:val="0"/>
          <w:numId w:val="47"/>
        </w:numPr>
        <w:ind w:firstLine="420"/>
        <w:rPr>
          <w:color w:val="auto"/>
          <w:shd w:val="clear" w:color="auto" w:fill="FFFFFF"/>
        </w:rPr>
      </w:pPr>
      <w:r>
        <w:rPr>
          <w:rFonts w:hint="eastAsia"/>
          <w:color w:val="auto"/>
          <w:shd w:val="clear" w:color="auto" w:fill="FFFFFF"/>
        </w:rPr>
        <w:t>省级体育社会团体年度考核的规定</w:t>
      </w:r>
    </w:p>
    <w:p w14:paraId="6DCC509C">
      <w:pPr>
        <w:pStyle w:val="66"/>
        <w:numPr>
          <w:ilvl w:val="0"/>
          <w:numId w:val="47"/>
        </w:numPr>
        <w:ind w:firstLine="420"/>
        <w:rPr>
          <w:color w:val="auto"/>
          <w:shd w:val="clear" w:color="auto" w:fill="FFFFFF"/>
        </w:rPr>
      </w:pPr>
      <w:r>
        <w:rPr>
          <w:rFonts w:hint="eastAsia"/>
          <w:color w:val="auto"/>
          <w:shd w:val="clear" w:color="auto" w:fill="FFFFFF"/>
        </w:rPr>
        <w:t>省级体育社会团体约见谈话的规定</w:t>
      </w:r>
    </w:p>
    <w:p w14:paraId="769A4033">
      <w:pPr>
        <w:pStyle w:val="66"/>
        <w:numPr>
          <w:ilvl w:val="0"/>
          <w:numId w:val="47"/>
        </w:numPr>
        <w:ind w:firstLine="420"/>
        <w:rPr>
          <w:color w:val="auto"/>
          <w:shd w:val="clear" w:color="auto" w:fill="FFFFFF"/>
        </w:rPr>
      </w:pPr>
      <w:r>
        <w:rPr>
          <w:rFonts w:hint="eastAsia"/>
          <w:color w:val="auto"/>
          <w:shd w:val="clear" w:color="auto" w:fill="FFFFFF"/>
        </w:rPr>
        <w:t>省级体育社会团体重大事项报备的规定</w:t>
      </w:r>
    </w:p>
    <w:p w14:paraId="69CBD699">
      <w:pPr>
        <w:pStyle w:val="66"/>
        <w:ind w:firstLine="420"/>
        <w:rPr>
          <w:color w:val="auto"/>
          <w:shd w:val="clear" w:color="auto" w:fill="FFFFFF"/>
        </w:rPr>
      </w:pPr>
      <w:r>
        <w:rPr>
          <w:rFonts w:hint="eastAsia"/>
          <w:color w:val="auto"/>
          <w:shd w:val="clear" w:color="auto" w:fill="FFFFFF"/>
        </w:rPr>
        <w:t xml:space="preserve"> </w:t>
      </w:r>
    </w:p>
    <w:p w14:paraId="4FB1F8EA">
      <w:pPr>
        <w:pStyle w:val="66"/>
        <w:ind w:firstLine="420"/>
        <w:rPr>
          <w:color w:val="auto"/>
          <w:shd w:val="clear" w:color="auto" w:fill="FFFFFF"/>
        </w:rPr>
      </w:pPr>
    </w:p>
    <w:p w14:paraId="29D228CB">
      <w:pPr>
        <w:pStyle w:val="66"/>
        <w:ind w:firstLine="420"/>
        <w:rPr>
          <w:color w:val="auto"/>
          <w:shd w:val="clear" w:color="auto" w:fill="FFFFFF"/>
        </w:rPr>
      </w:pPr>
    </w:p>
    <w:p w14:paraId="08B87814">
      <w:pPr>
        <w:pStyle w:val="66"/>
        <w:ind w:firstLine="420"/>
        <w:rPr>
          <w:color w:val="auto"/>
          <w:shd w:val="clear" w:color="auto" w:fill="FFFFFF"/>
        </w:rPr>
      </w:pPr>
    </w:p>
    <w:p w14:paraId="36CE04AA">
      <w:pPr>
        <w:pStyle w:val="66"/>
        <w:ind w:firstLine="420"/>
        <w:rPr>
          <w:color w:val="auto"/>
          <w:shd w:val="clear" w:color="auto" w:fill="FFFFFF"/>
        </w:rPr>
      </w:pPr>
    </w:p>
    <w:bookmarkEnd w:id="119"/>
    <w:p w14:paraId="6644C81C">
      <w:pPr>
        <w:pStyle w:val="66"/>
        <w:ind w:firstLine="0" w:firstLineChars="0"/>
        <w:jc w:val="center"/>
        <w:rPr>
          <w:color w:val="auto"/>
        </w:rPr>
      </w:pPr>
      <w:bookmarkStart w:id="120" w:name="BookMark8"/>
      <w:r>
        <w:rPr>
          <w:rFonts w:hint="eastAsia"/>
          <w:color w:val="auto"/>
        </w:rPr>
        <w:drawing>
          <wp:inline distT="0" distB="0" distL="0" distR="0">
            <wp:extent cx="1485900" cy="3175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0"/>
    </w:p>
    <w:sectPr>
      <w:footerReference r:id="rId14" w:type="default"/>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B92C0">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ED70F">
    <w:pPr>
      <w:pStyle w:val="20"/>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59FB7">
    <w:pPr>
      <w:pStyle w:val="2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5F757">
    <w:pPr>
      <w:pStyle w:val="62"/>
    </w:pPr>
    <w:r>
      <w:fldChar w:fldCharType="begin"/>
    </w:r>
    <w:r>
      <w:instrText xml:space="preserve">PAGE   \* MERGEFORMAT</w:instrText>
    </w:r>
    <w:r>
      <w:fldChar w:fldCharType="separate"/>
    </w:r>
    <w:r>
      <w:rPr>
        <w:lang w:val="zh-CN"/>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5CB34">
    <w:pPr>
      <w:pStyle w:val="6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914EB">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02914EB">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7C401">
    <w:pPr>
      <w:pStyle w:val="21"/>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EE077">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4B776">
    <w:pPr>
      <w:pStyle w:val="21"/>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225EB">
    <w:pPr>
      <w:pStyle w:val="71"/>
      <w:rPr>
        <w:rFonts w:hint="eastAsia"/>
      </w:rPr>
    </w:pPr>
    <w:r>
      <w:fldChar w:fldCharType="begin"/>
    </w:r>
    <w:r>
      <w:instrText xml:space="preserve"> STYLEREF  标准文件_文件编号  \* MERGEFORMAT </w:instrText>
    </w:r>
    <w:r>
      <w:fldChar w:fldCharType="separate"/>
    </w:r>
    <w:r>
      <w:t>DB 44/T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6C6F2">
    <w:pPr>
      <w:pStyle w:val="21"/>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44/T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C2973"/>
    <w:multiLevelType w:val="singleLevel"/>
    <w:tmpl w:val="A81C2973"/>
    <w:lvl w:ilvl="0" w:tentative="0">
      <w:start w:val="1"/>
      <w:numFmt w:val="decimal"/>
      <w:suff w:val="space"/>
      <w:lvlText w:val="[%1]"/>
      <w:lvlJc w:val="left"/>
    </w:lvl>
  </w:abstractNum>
  <w:abstractNum w:abstractNumId="1">
    <w:nsid w:val="02837933"/>
    <w:multiLevelType w:val="multilevel"/>
    <w:tmpl w:val="02837933"/>
    <w:lvl w:ilvl="0" w:tentative="0">
      <w:start w:val="1"/>
      <w:numFmt w:val="decimal"/>
      <w:pStyle w:val="7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9"/>
      <w:suff w:val="nothing"/>
      <w:lvlText w:val="%1%2.%3　"/>
      <w:lvlJc w:val="left"/>
      <w:pPr>
        <w:ind w:left="0" w:firstLine="0"/>
      </w:pPr>
    </w:lvl>
    <w:lvl w:ilvl="3" w:tentative="0">
      <w:start w:val="1"/>
      <w:numFmt w:val="decimal"/>
      <w:pStyle w:val="128"/>
      <w:suff w:val="nothing"/>
      <w:lvlText w:val="%1%2.%3.%4　"/>
      <w:lvlJc w:val="left"/>
      <w:pPr>
        <w:ind w:left="0" w:firstLine="0"/>
      </w:pPr>
    </w:lvl>
    <w:lvl w:ilvl="4" w:tentative="0">
      <w:start w:val="1"/>
      <w:numFmt w:val="decimal"/>
      <w:pStyle w:val="163"/>
      <w:suff w:val="nothing"/>
      <w:lvlText w:val="%1%2.%3.%4.%5　"/>
      <w:lvlJc w:val="left"/>
      <w:pPr>
        <w:ind w:left="0" w:firstLine="0"/>
      </w:pPr>
    </w:lvl>
    <w:lvl w:ilvl="5" w:tentative="0">
      <w:start w:val="1"/>
      <w:numFmt w:val="decimal"/>
      <w:pStyle w:val="165"/>
      <w:suff w:val="nothing"/>
      <w:lvlText w:val="%1%2.%3.%4.%5.%6　"/>
      <w:lvlJc w:val="left"/>
      <w:pPr>
        <w:ind w:left="0" w:firstLine="0"/>
      </w:pPr>
    </w:lvl>
    <w:lvl w:ilvl="6" w:tentative="0">
      <w:start w:val="1"/>
      <w:numFmt w:val="decimal"/>
      <w:pStyle w:val="16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9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9"/>
      <w:lvlText w:val="%1"/>
      <w:lvlJc w:val="left"/>
      <w:pPr>
        <w:ind w:left="425" w:hanging="425"/>
      </w:pPr>
      <w:rPr>
        <w:rFonts w:hint="eastAsia"/>
      </w:rPr>
    </w:lvl>
    <w:lvl w:ilvl="1" w:tentative="0">
      <w:start w:val="1"/>
      <w:numFmt w:val="decimal"/>
      <w:pStyle w:val="210"/>
      <w:suff w:val="nothing"/>
      <w:lvlText w:val="%10.%2 "/>
      <w:lvlJc w:val="left"/>
      <w:pPr>
        <w:ind w:left="0" w:firstLine="0"/>
      </w:pPr>
      <w:rPr>
        <w:rFonts w:hint="eastAsia" w:ascii="黑体" w:eastAsia="黑体" w:hAnsiTheme="minorHAnsi"/>
        <w:b w:val="0"/>
        <w:i w:val="0"/>
        <w:sz w:val="21"/>
      </w:rPr>
    </w:lvl>
    <w:lvl w:ilvl="2" w:tentative="0">
      <w:start w:val="1"/>
      <w:numFmt w:val="decimal"/>
      <w:pStyle w:val="211"/>
      <w:suff w:val="nothing"/>
      <w:lvlText w:val="%10.%2.%3 "/>
      <w:lvlJc w:val="left"/>
      <w:pPr>
        <w:ind w:left="0" w:firstLine="0"/>
      </w:pPr>
      <w:rPr>
        <w:rFonts w:hint="eastAsia" w:ascii="黑体" w:eastAsia="黑体" w:hAnsiTheme="minorHAnsi"/>
        <w:b w:val="0"/>
        <w:i w:val="0"/>
        <w:sz w:val="21"/>
      </w:rPr>
    </w:lvl>
    <w:lvl w:ilvl="3" w:tentative="0">
      <w:start w:val="1"/>
      <w:numFmt w:val="decimal"/>
      <w:pStyle w:val="212"/>
      <w:suff w:val="nothing"/>
      <w:lvlText w:val="%10.%2.%3.%4 "/>
      <w:lvlJc w:val="left"/>
      <w:pPr>
        <w:ind w:left="0" w:firstLine="0"/>
      </w:pPr>
      <w:rPr>
        <w:rFonts w:hint="eastAsia" w:ascii="黑体" w:eastAsia="黑体" w:hAnsiTheme="minorHAnsi"/>
        <w:b w:val="0"/>
        <w:i w:val="0"/>
        <w:sz w:val="21"/>
      </w:rPr>
    </w:lvl>
    <w:lvl w:ilvl="4" w:tentative="0">
      <w:start w:val="1"/>
      <w:numFmt w:val="decimal"/>
      <w:pStyle w:val="213"/>
      <w:suff w:val="nothing"/>
      <w:lvlText w:val="%10.%2.%3.%4.%5 "/>
      <w:lvlJc w:val="left"/>
      <w:pPr>
        <w:ind w:left="0" w:firstLine="0"/>
      </w:pPr>
      <w:rPr>
        <w:rFonts w:hint="eastAsia" w:ascii="黑体" w:eastAsia="黑体" w:hAnsiTheme="minorHAnsi"/>
        <w:b w:val="0"/>
        <w:i w:val="0"/>
        <w:sz w:val="21"/>
      </w:rPr>
    </w:lvl>
    <w:lvl w:ilvl="5" w:tentative="0">
      <w:start w:val="1"/>
      <w:numFmt w:val="decimal"/>
      <w:pStyle w:val="21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9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2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9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10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pStyle w:val="244"/>
      <w:suff w:val="nothing"/>
      <w:lvlText w:val="%1　"/>
      <w:lvlJc w:val="left"/>
      <w:rPr>
        <w:rFonts w:hint="eastAsia" w:ascii="黑体" w:hAnsi="Times New Roman" w:eastAsia="黑体" w:cs="Times New Roman"/>
        <w:b w:val="0"/>
        <w:i w:val="0"/>
        <w:sz w:val="21"/>
        <w:szCs w:val="21"/>
      </w:rPr>
    </w:lvl>
    <w:lvl w:ilvl="1" w:tentative="0">
      <w:start w:val="1"/>
      <w:numFmt w:val="decimal"/>
      <w:pStyle w:val="246"/>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48"/>
      <w:suff w:val="nothing"/>
      <w:lvlText w:val="%1.%2.%3　"/>
      <w:lvlJc w:val="left"/>
      <w:rPr>
        <w:rFonts w:hint="eastAsia" w:ascii="黑体" w:hAnsi="Times New Roman" w:eastAsia="黑体" w:cs="Times New Roman"/>
        <w:b w:val="0"/>
        <w:i w:val="0"/>
        <w:sz w:val="21"/>
      </w:rPr>
    </w:lvl>
    <w:lvl w:ilvl="3" w:tentative="0">
      <w:start w:val="1"/>
      <w:numFmt w:val="decimal"/>
      <w:pStyle w:val="251"/>
      <w:suff w:val="nothing"/>
      <w:lvlText w:val="%1.%2.%3.%4　"/>
      <w:lvlJc w:val="left"/>
      <w:pPr>
        <w:ind w:left="1418"/>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2">
    <w:nsid w:val="2C5917C3"/>
    <w:multiLevelType w:val="multilevel"/>
    <w:tmpl w:val="2C5917C3"/>
    <w:lvl w:ilvl="0" w:tentative="0">
      <w:start w:val="1"/>
      <w:numFmt w:val="none"/>
      <w:pStyle w:val="249"/>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7"/>
      <w:lvlText w:val=""/>
      <w:lvlJc w:val="left"/>
      <w:pPr>
        <w:ind w:left="851" w:hanging="431"/>
      </w:pPr>
      <w:rPr>
        <w:rFonts w:hint="default" w:ascii="Symbol" w:hAnsi="Symbol"/>
        <w:sz w:val="21"/>
      </w:rPr>
    </w:lvl>
    <w:lvl w:ilvl="2" w:tentative="0">
      <w:start w:val="1"/>
      <w:numFmt w:val="bullet"/>
      <w:pStyle w:val="18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1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84"/>
      <w:lvlText w:val="%1)"/>
      <w:lvlJc w:val="left"/>
      <w:pPr>
        <w:tabs>
          <w:tab w:val="left" w:pos="851"/>
        </w:tabs>
        <w:ind w:left="846" w:hanging="426"/>
      </w:pPr>
      <w:rPr>
        <w:rFonts w:hint="default" w:ascii="宋体" w:hAnsi="Times New Roman" w:eastAsia="宋体"/>
        <w:color w:val="auto"/>
        <w:sz w:val="21"/>
      </w:rPr>
    </w:lvl>
    <w:lvl w:ilvl="1" w:tentative="0">
      <w:start w:val="1"/>
      <w:numFmt w:val="decimal"/>
      <w:pStyle w:val="119"/>
      <w:lvlText w:val="%2)"/>
      <w:lvlJc w:val="left"/>
      <w:pPr>
        <w:tabs>
          <w:tab w:val="left" w:pos="1276"/>
        </w:tabs>
        <w:ind w:left="1276" w:hanging="425"/>
      </w:pPr>
      <w:rPr>
        <w:rFonts w:hint="eastAsia" w:ascii="宋体" w:hAnsi="Times New Roman" w:eastAsia="宋体"/>
        <w:sz w:val="21"/>
      </w:rPr>
    </w:lvl>
    <w:lvl w:ilvl="2" w:tentative="0">
      <w:start w:val="1"/>
      <w:numFmt w:val="decimal"/>
      <w:pStyle w:val="12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8"/>
      <w:lvlText w:val="%1"/>
      <w:lvlJc w:val="left"/>
      <w:pPr>
        <w:ind w:left="420" w:hanging="420"/>
      </w:pPr>
      <w:rPr>
        <w:rFonts w:hint="eastAsia"/>
      </w:rPr>
    </w:lvl>
    <w:lvl w:ilvl="1" w:tentative="0">
      <w:start w:val="1"/>
      <w:numFmt w:val="decimal"/>
      <w:pStyle w:val="9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9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2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10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2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9"/>
      <w:suff w:val="space"/>
      <w:lvlText w:val="%1"/>
      <w:lvlJc w:val="left"/>
      <w:pPr>
        <w:ind w:left="425" w:hanging="425"/>
      </w:pPr>
      <w:rPr>
        <w:rFonts w:hint="eastAsia"/>
      </w:rPr>
    </w:lvl>
    <w:lvl w:ilvl="1" w:tentative="0">
      <w:start w:val="1"/>
      <w:numFmt w:val="decimal"/>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2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2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86"/>
      <w:suff w:val="nothing"/>
      <w:lvlText w:val="附录%1"/>
      <w:lvlJc w:val="left"/>
      <w:pPr>
        <w:ind w:left="0" w:firstLine="0"/>
      </w:pPr>
      <w:rPr>
        <w:rFonts w:hint="eastAsia"/>
        <w:spacing w:val="100"/>
      </w:rPr>
    </w:lvl>
    <w:lvl w:ilvl="1" w:tentative="0">
      <w:start w:val="1"/>
      <w:numFmt w:val="decimal"/>
      <w:pStyle w:val="88"/>
      <w:suff w:val="nothing"/>
      <w:lvlText w:val="%1.%2　"/>
      <w:lvlJc w:val="left"/>
      <w:pPr>
        <w:ind w:left="0" w:firstLine="0"/>
      </w:pPr>
      <w:rPr>
        <w:rFonts w:hint="eastAsia" w:ascii="黑体" w:eastAsia="黑体"/>
        <w:b w:val="0"/>
        <w:i w:val="0"/>
        <w:sz w:val="21"/>
      </w:rPr>
    </w:lvl>
    <w:lvl w:ilvl="2" w:tentative="0">
      <w:start w:val="1"/>
      <w:numFmt w:val="decimal"/>
      <w:pStyle w:val="89"/>
      <w:suff w:val="nothing"/>
      <w:lvlText w:val="%1.%2.%3　"/>
      <w:lvlJc w:val="left"/>
      <w:pPr>
        <w:ind w:left="0" w:firstLine="0"/>
      </w:pPr>
      <w:rPr>
        <w:rFonts w:hint="eastAsia" w:ascii="黑体" w:eastAsia="黑体"/>
        <w:b w:val="0"/>
        <w:i w:val="0"/>
        <w:sz w:val="21"/>
      </w:rPr>
    </w:lvl>
    <w:lvl w:ilvl="3" w:tentative="0">
      <w:start w:val="1"/>
      <w:numFmt w:val="decimal"/>
      <w:pStyle w:val="91"/>
      <w:suff w:val="nothing"/>
      <w:lvlText w:val="%1.%2.%3.%4　"/>
      <w:lvlJc w:val="left"/>
      <w:pPr>
        <w:ind w:left="0" w:firstLine="0"/>
      </w:pPr>
      <w:rPr>
        <w:rFonts w:hint="eastAsia" w:ascii="黑体" w:eastAsia="黑体"/>
        <w:b w:val="0"/>
        <w:i w:val="0"/>
        <w:sz w:val="21"/>
      </w:rPr>
    </w:lvl>
    <w:lvl w:ilvl="4" w:tentative="0">
      <w:start w:val="1"/>
      <w:numFmt w:val="decimal"/>
      <w:pStyle w:val="92"/>
      <w:suff w:val="nothing"/>
      <w:lvlText w:val="%1.%2.%3.%4.%5　"/>
      <w:lvlJc w:val="left"/>
      <w:pPr>
        <w:ind w:left="0" w:firstLine="0"/>
      </w:pPr>
      <w:rPr>
        <w:rFonts w:hint="eastAsia" w:ascii="黑体" w:eastAsia="黑体"/>
        <w:b w:val="0"/>
        <w:i w:val="0"/>
        <w:sz w:val="21"/>
      </w:rPr>
    </w:lvl>
    <w:lvl w:ilvl="5" w:tentative="0">
      <w:start w:val="1"/>
      <w:numFmt w:val="decimal"/>
      <w:pStyle w:val="9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10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8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62"/>
      <w:suff w:val="nothing"/>
      <w:lvlText w:val="%1"/>
      <w:lvlJc w:val="left"/>
      <w:pPr>
        <w:ind w:left="0" w:firstLine="0"/>
      </w:pPr>
      <w:rPr>
        <w:rFonts w:hint="eastAsia"/>
      </w:rPr>
    </w:lvl>
    <w:lvl w:ilvl="1" w:tentative="0">
      <w:start w:val="1"/>
      <w:numFmt w:val="decimal"/>
      <w:pStyle w:val="114"/>
      <w:suff w:val="nothing"/>
      <w:lvlText w:val="%1%2　"/>
      <w:lvlJc w:val="left"/>
      <w:pPr>
        <w:ind w:left="0" w:firstLine="0"/>
      </w:pPr>
      <w:rPr>
        <w:rFonts w:hint="eastAsia" w:ascii="黑体" w:eastAsia="黑体"/>
        <w:b w:val="0"/>
        <w:i w:val="0"/>
        <w:sz w:val="21"/>
      </w:rPr>
    </w:lvl>
    <w:lvl w:ilvl="2" w:tentative="0">
      <w:start w:val="1"/>
      <w:numFmt w:val="decimal"/>
      <w:pStyle w:val="115"/>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5"/>
      <w:suff w:val="nothing"/>
      <w:lvlText w:val="%1%2.%3.%4　"/>
      <w:lvlJc w:val="left"/>
      <w:pPr>
        <w:ind w:left="567" w:firstLine="0"/>
      </w:pPr>
      <w:rPr>
        <w:rFonts w:hint="default" w:ascii="黑体" w:eastAsia="黑体"/>
        <w:b w:val="0"/>
        <w:i w:val="0"/>
        <w:color w:val="auto"/>
        <w:sz w:val="21"/>
      </w:rPr>
    </w:lvl>
    <w:lvl w:ilvl="4" w:tentative="0">
      <w:start w:val="1"/>
      <w:numFmt w:val="decimal"/>
      <w:pStyle w:val="104"/>
      <w:suff w:val="nothing"/>
      <w:lvlText w:val="%1%2.%3.%4.%5　"/>
      <w:lvlJc w:val="left"/>
      <w:pPr>
        <w:ind w:left="567" w:firstLine="0"/>
      </w:pPr>
      <w:rPr>
        <w:rFonts w:hint="default" w:ascii="黑体" w:hAnsi="黑体" w:eastAsia="黑体" w:cs="黑体"/>
        <w:b w:val="0"/>
        <w:i w:val="0"/>
        <w:color w:val="auto"/>
        <w:sz w:val="21"/>
      </w:rPr>
    </w:lvl>
    <w:lvl w:ilvl="5" w:tentative="0">
      <w:start w:val="1"/>
      <w:numFmt w:val="decimal"/>
      <w:pStyle w:val="108"/>
      <w:suff w:val="nothing"/>
      <w:lvlText w:val="%1%2.%3.%4.%5.%6　"/>
      <w:lvlJc w:val="left"/>
      <w:pPr>
        <w:ind w:left="0" w:firstLine="0"/>
      </w:pPr>
      <w:rPr>
        <w:rFonts w:hint="eastAsia" w:ascii="黑体" w:eastAsia="黑体"/>
        <w:b w:val="0"/>
        <w:i w:val="0"/>
        <w:sz w:val="21"/>
      </w:rPr>
    </w:lvl>
    <w:lvl w:ilvl="6" w:tentative="0">
      <w:start w:val="1"/>
      <w:numFmt w:val="decimal"/>
      <w:pStyle w:val="11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9"/>
      <w:lvlText w:val="%1注："/>
      <w:lvlJc w:val="left"/>
      <w:pPr>
        <w:ind w:left="737" w:hanging="374"/>
      </w:pPr>
      <w:rPr>
        <w:rFonts w:hint="default" w:ascii="黑体" w:eastAsia="黑体"/>
        <w:b w:val="0"/>
        <w:i w:val="0"/>
        <w:color w:val="auto"/>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2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9"/>
  </w:num>
  <w:num w:numId="3">
    <w:abstractNumId w:val="6"/>
  </w:num>
  <w:num w:numId="4">
    <w:abstractNumId w:val="25"/>
  </w:num>
  <w:num w:numId="5">
    <w:abstractNumId w:val="15"/>
  </w:num>
  <w:num w:numId="6">
    <w:abstractNumId w:val="9"/>
  </w:num>
  <w:num w:numId="7">
    <w:abstractNumId w:val="4"/>
  </w:num>
  <w:num w:numId="8">
    <w:abstractNumId w:val="10"/>
  </w:num>
  <w:num w:numId="9">
    <w:abstractNumId w:val="18"/>
  </w:num>
  <w:num w:numId="10">
    <w:abstractNumId w:val="27"/>
  </w:num>
  <w:num w:numId="11">
    <w:abstractNumId w:val="13"/>
  </w:num>
  <w:num w:numId="12">
    <w:abstractNumId w:val="14"/>
  </w:num>
  <w:num w:numId="13">
    <w:abstractNumId w:val="8"/>
  </w:num>
  <w:num w:numId="14">
    <w:abstractNumId w:val="21"/>
  </w:num>
  <w:num w:numId="15">
    <w:abstractNumId w:val="23"/>
  </w:num>
  <w:num w:numId="16">
    <w:abstractNumId w:val="19"/>
  </w:num>
  <w:num w:numId="17">
    <w:abstractNumId w:val="31"/>
  </w:num>
  <w:num w:numId="18">
    <w:abstractNumId w:val="17"/>
  </w:num>
  <w:num w:numId="19">
    <w:abstractNumId w:val="2"/>
  </w:num>
  <w:num w:numId="20">
    <w:abstractNumId w:val="32"/>
  </w:num>
  <w:num w:numId="21">
    <w:abstractNumId w:val="22"/>
  </w:num>
  <w:num w:numId="22">
    <w:abstractNumId w:val="7"/>
  </w:num>
  <w:num w:numId="23">
    <w:abstractNumId w:val="12"/>
  </w:num>
  <w:num w:numId="24">
    <w:abstractNumId w:val="28"/>
  </w:num>
  <w:num w:numId="25">
    <w:abstractNumId w:val="30"/>
  </w:num>
  <w:num w:numId="26">
    <w:abstractNumId w:val="3"/>
  </w:num>
  <w:num w:numId="27">
    <w:abstractNumId w:val="5"/>
  </w:num>
  <w:num w:numId="28">
    <w:abstractNumId w:val="16"/>
  </w:num>
  <w:num w:numId="29">
    <w:abstractNumId w:val="26"/>
  </w:num>
  <w:num w:numId="30">
    <w:abstractNumId w:val="24"/>
  </w:num>
  <w:num w:numId="31">
    <w:abstractNumId w:val="20"/>
  </w:num>
  <w:num w:numId="32">
    <w:abstractNumId w:val="11"/>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OWYwOGU5YzJmMzIxY2E4NGJiNWE1OWY2NDhhYzUifQ=="/>
    <w:docVar w:name="KSO_WPS_MARK_KEY" w:val="0462d8a0-cdf7-466d-9ff4-b0c7bd8da585"/>
  </w:docVars>
  <w:rsids>
    <w:rsidRoot w:val="002A3BB6"/>
    <w:rsid w:val="0000040A"/>
    <w:rsid w:val="00000A94"/>
    <w:rsid w:val="00001972"/>
    <w:rsid w:val="00001D9A"/>
    <w:rsid w:val="00003235"/>
    <w:rsid w:val="00007B3A"/>
    <w:rsid w:val="0001045C"/>
    <w:rsid w:val="000107E0"/>
    <w:rsid w:val="00011FDE"/>
    <w:rsid w:val="00012FFD"/>
    <w:rsid w:val="00013CBF"/>
    <w:rsid w:val="00014162"/>
    <w:rsid w:val="00014340"/>
    <w:rsid w:val="000167C8"/>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6246"/>
    <w:rsid w:val="00046501"/>
    <w:rsid w:val="00046B8C"/>
    <w:rsid w:val="00047F28"/>
    <w:rsid w:val="000503AA"/>
    <w:rsid w:val="000506A1"/>
    <w:rsid w:val="00050F4B"/>
    <w:rsid w:val="000513E5"/>
    <w:rsid w:val="000515DD"/>
    <w:rsid w:val="0005229B"/>
    <w:rsid w:val="0005265A"/>
    <w:rsid w:val="000539DD"/>
    <w:rsid w:val="00053BD3"/>
    <w:rsid w:val="000556ED"/>
    <w:rsid w:val="00055FE2"/>
    <w:rsid w:val="0005616F"/>
    <w:rsid w:val="00060C2E"/>
    <w:rsid w:val="00061033"/>
    <w:rsid w:val="00061490"/>
    <w:rsid w:val="000619E9"/>
    <w:rsid w:val="000622D4"/>
    <w:rsid w:val="0006357D"/>
    <w:rsid w:val="00067F1E"/>
    <w:rsid w:val="00071CC0"/>
    <w:rsid w:val="00073C8C"/>
    <w:rsid w:val="000776D3"/>
    <w:rsid w:val="00077B64"/>
    <w:rsid w:val="00080A1C"/>
    <w:rsid w:val="000820E7"/>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6B7F"/>
    <w:rsid w:val="000A7311"/>
    <w:rsid w:val="000A7697"/>
    <w:rsid w:val="000B060F"/>
    <w:rsid w:val="000B1592"/>
    <w:rsid w:val="000B1FF2"/>
    <w:rsid w:val="000B3CDA"/>
    <w:rsid w:val="000B44D3"/>
    <w:rsid w:val="000B6A0B"/>
    <w:rsid w:val="000B785E"/>
    <w:rsid w:val="000C0F49"/>
    <w:rsid w:val="000C0F6C"/>
    <w:rsid w:val="000C11DB"/>
    <w:rsid w:val="000C1492"/>
    <w:rsid w:val="000C2FBD"/>
    <w:rsid w:val="000C4B41"/>
    <w:rsid w:val="000C5757"/>
    <w:rsid w:val="000C57D6"/>
    <w:rsid w:val="000C6362"/>
    <w:rsid w:val="000C7666"/>
    <w:rsid w:val="000D0A9C"/>
    <w:rsid w:val="000D1795"/>
    <w:rsid w:val="000D329A"/>
    <w:rsid w:val="000D4B9C"/>
    <w:rsid w:val="000D4EB6"/>
    <w:rsid w:val="000D51C2"/>
    <w:rsid w:val="000D6B28"/>
    <w:rsid w:val="000D753B"/>
    <w:rsid w:val="000E4A3D"/>
    <w:rsid w:val="000E4C9E"/>
    <w:rsid w:val="000E6FD7"/>
    <w:rsid w:val="000F06E1"/>
    <w:rsid w:val="000F0E3C"/>
    <w:rsid w:val="000F19D5"/>
    <w:rsid w:val="000F1EE7"/>
    <w:rsid w:val="000F285D"/>
    <w:rsid w:val="000F4AEA"/>
    <w:rsid w:val="000F633F"/>
    <w:rsid w:val="000F67E9"/>
    <w:rsid w:val="000F69AF"/>
    <w:rsid w:val="00103914"/>
    <w:rsid w:val="00104926"/>
    <w:rsid w:val="001055E2"/>
    <w:rsid w:val="00105700"/>
    <w:rsid w:val="00107FC8"/>
    <w:rsid w:val="00113B1E"/>
    <w:rsid w:val="001157E8"/>
    <w:rsid w:val="001160AA"/>
    <w:rsid w:val="0011711C"/>
    <w:rsid w:val="0012059C"/>
    <w:rsid w:val="00120E30"/>
    <w:rsid w:val="001245AD"/>
    <w:rsid w:val="00124D8B"/>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47E30"/>
    <w:rsid w:val="00150EAD"/>
    <w:rsid w:val="0015159D"/>
    <w:rsid w:val="001529E5"/>
    <w:rsid w:val="00153C7E"/>
    <w:rsid w:val="00154D7B"/>
    <w:rsid w:val="00156B25"/>
    <w:rsid w:val="00156E1A"/>
    <w:rsid w:val="00157894"/>
    <w:rsid w:val="00157B55"/>
    <w:rsid w:val="00160DB3"/>
    <w:rsid w:val="00163645"/>
    <w:rsid w:val="001642FA"/>
    <w:rsid w:val="001649EB"/>
    <w:rsid w:val="00164B19"/>
    <w:rsid w:val="00164BAF"/>
    <w:rsid w:val="00164FA8"/>
    <w:rsid w:val="00165065"/>
    <w:rsid w:val="00165434"/>
    <w:rsid w:val="0016580B"/>
    <w:rsid w:val="00165F49"/>
    <w:rsid w:val="00166B88"/>
    <w:rsid w:val="0016770A"/>
    <w:rsid w:val="00170804"/>
    <w:rsid w:val="001708E9"/>
    <w:rsid w:val="00170EA8"/>
    <w:rsid w:val="0017340B"/>
    <w:rsid w:val="00173FB1"/>
    <w:rsid w:val="0017499C"/>
    <w:rsid w:val="00175093"/>
    <w:rsid w:val="00176DFD"/>
    <w:rsid w:val="00183624"/>
    <w:rsid w:val="00183B24"/>
    <w:rsid w:val="001851C2"/>
    <w:rsid w:val="0018524F"/>
    <w:rsid w:val="001852C9"/>
    <w:rsid w:val="00190087"/>
    <w:rsid w:val="001913C4"/>
    <w:rsid w:val="0019348F"/>
    <w:rsid w:val="00193A07"/>
    <w:rsid w:val="00194C95"/>
    <w:rsid w:val="00195C34"/>
    <w:rsid w:val="00196CBF"/>
    <w:rsid w:val="00196EF5"/>
    <w:rsid w:val="001A1846"/>
    <w:rsid w:val="001A1A53"/>
    <w:rsid w:val="001A234A"/>
    <w:rsid w:val="001A2C02"/>
    <w:rsid w:val="001A2F3B"/>
    <w:rsid w:val="001A410E"/>
    <w:rsid w:val="001A44E6"/>
    <w:rsid w:val="001A4CF3"/>
    <w:rsid w:val="001B06E8"/>
    <w:rsid w:val="001B1909"/>
    <w:rsid w:val="001B384C"/>
    <w:rsid w:val="001B6C95"/>
    <w:rsid w:val="001B71D0"/>
    <w:rsid w:val="001B71EE"/>
    <w:rsid w:val="001B7BA8"/>
    <w:rsid w:val="001C04A8"/>
    <w:rsid w:val="001C2C03"/>
    <w:rsid w:val="001C42F7"/>
    <w:rsid w:val="001C49E5"/>
    <w:rsid w:val="001C680C"/>
    <w:rsid w:val="001C7FEA"/>
    <w:rsid w:val="001D0499"/>
    <w:rsid w:val="001D08CE"/>
    <w:rsid w:val="001D0BBE"/>
    <w:rsid w:val="001D0ED4"/>
    <w:rsid w:val="001D0FB6"/>
    <w:rsid w:val="001D212F"/>
    <w:rsid w:val="001D29D7"/>
    <w:rsid w:val="001D2DE7"/>
    <w:rsid w:val="001D411C"/>
    <w:rsid w:val="001D697C"/>
    <w:rsid w:val="001E0F3F"/>
    <w:rsid w:val="001E1B6A"/>
    <w:rsid w:val="001E2484"/>
    <w:rsid w:val="001E3CC4"/>
    <w:rsid w:val="001E42A1"/>
    <w:rsid w:val="001E4882"/>
    <w:rsid w:val="001E4FEC"/>
    <w:rsid w:val="001E73AB"/>
    <w:rsid w:val="001F092D"/>
    <w:rsid w:val="001F143A"/>
    <w:rsid w:val="001F1605"/>
    <w:rsid w:val="001F2508"/>
    <w:rsid w:val="001F3A33"/>
    <w:rsid w:val="001F4816"/>
    <w:rsid w:val="001F4EE9"/>
    <w:rsid w:val="001F69B4"/>
    <w:rsid w:val="001F77C7"/>
    <w:rsid w:val="00200183"/>
    <w:rsid w:val="00200333"/>
    <w:rsid w:val="0020107D"/>
    <w:rsid w:val="00202AA4"/>
    <w:rsid w:val="002031F7"/>
    <w:rsid w:val="002040E6"/>
    <w:rsid w:val="0020527B"/>
    <w:rsid w:val="00205F2C"/>
    <w:rsid w:val="00210B15"/>
    <w:rsid w:val="00213F42"/>
    <w:rsid w:val="002142EA"/>
    <w:rsid w:val="002204BB"/>
    <w:rsid w:val="00221512"/>
    <w:rsid w:val="00221B79"/>
    <w:rsid w:val="00221C6B"/>
    <w:rsid w:val="002253A1"/>
    <w:rsid w:val="00225B93"/>
    <w:rsid w:val="00225CF8"/>
    <w:rsid w:val="0022794E"/>
    <w:rsid w:val="00230BEF"/>
    <w:rsid w:val="00230D74"/>
    <w:rsid w:val="00233D64"/>
    <w:rsid w:val="0023482A"/>
    <w:rsid w:val="002351FD"/>
    <w:rsid w:val="002359CB"/>
    <w:rsid w:val="00237638"/>
    <w:rsid w:val="00237A6E"/>
    <w:rsid w:val="002410F1"/>
    <w:rsid w:val="002412AC"/>
    <w:rsid w:val="00243540"/>
    <w:rsid w:val="0024497B"/>
    <w:rsid w:val="0024515B"/>
    <w:rsid w:val="002455CC"/>
    <w:rsid w:val="00246021"/>
    <w:rsid w:val="0024666E"/>
    <w:rsid w:val="00247F52"/>
    <w:rsid w:val="00250B25"/>
    <w:rsid w:val="00250BBE"/>
    <w:rsid w:val="002515C2"/>
    <w:rsid w:val="0025194F"/>
    <w:rsid w:val="00260737"/>
    <w:rsid w:val="0026148A"/>
    <w:rsid w:val="00262696"/>
    <w:rsid w:val="002630BB"/>
    <w:rsid w:val="00263D25"/>
    <w:rsid w:val="002643C3"/>
    <w:rsid w:val="00264A0C"/>
    <w:rsid w:val="00266EEB"/>
    <w:rsid w:val="00267EF4"/>
    <w:rsid w:val="00270CB8"/>
    <w:rsid w:val="00270E2D"/>
    <w:rsid w:val="00272B08"/>
    <w:rsid w:val="00275F32"/>
    <w:rsid w:val="002771AC"/>
    <w:rsid w:val="0028139A"/>
    <w:rsid w:val="00281BB8"/>
    <w:rsid w:val="00281E9E"/>
    <w:rsid w:val="00282405"/>
    <w:rsid w:val="00284021"/>
    <w:rsid w:val="00285085"/>
    <w:rsid w:val="00285170"/>
    <w:rsid w:val="00285361"/>
    <w:rsid w:val="00290E88"/>
    <w:rsid w:val="00292D60"/>
    <w:rsid w:val="00293B30"/>
    <w:rsid w:val="00294222"/>
    <w:rsid w:val="00294D34"/>
    <w:rsid w:val="00294E3B"/>
    <w:rsid w:val="00296193"/>
    <w:rsid w:val="00296C66"/>
    <w:rsid w:val="00296EBE"/>
    <w:rsid w:val="002974E3"/>
    <w:rsid w:val="002A059C"/>
    <w:rsid w:val="002A084B"/>
    <w:rsid w:val="002A1260"/>
    <w:rsid w:val="002A1589"/>
    <w:rsid w:val="002A1608"/>
    <w:rsid w:val="002A1E25"/>
    <w:rsid w:val="002A25DC"/>
    <w:rsid w:val="002A3AAB"/>
    <w:rsid w:val="002A3BB6"/>
    <w:rsid w:val="002A4CEA"/>
    <w:rsid w:val="002A56D1"/>
    <w:rsid w:val="002A5977"/>
    <w:rsid w:val="002A5A13"/>
    <w:rsid w:val="002A757F"/>
    <w:rsid w:val="002A7F41"/>
    <w:rsid w:val="002A7F44"/>
    <w:rsid w:val="002B0C40"/>
    <w:rsid w:val="002B1966"/>
    <w:rsid w:val="002B253B"/>
    <w:rsid w:val="002B4508"/>
    <w:rsid w:val="002B5779"/>
    <w:rsid w:val="002B5948"/>
    <w:rsid w:val="002B7332"/>
    <w:rsid w:val="002B7831"/>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E7AA3"/>
    <w:rsid w:val="002E7DB8"/>
    <w:rsid w:val="002F30E0"/>
    <w:rsid w:val="002F35E4"/>
    <w:rsid w:val="002F3730"/>
    <w:rsid w:val="002F38E1"/>
    <w:rsid w:val="002F7AF6"/>
    <w:rsid w:val="00300E63"/>
    <w:rsid w:val="00302F5F"/>
    <w:rsid w:val="0030441D"/>
    <w:rsid w:val="00306063"/>
    <w:rsid w:val="00311A5F"/>
    <w:rsid w:val="00311C7E"/>
    <w:rsid w:val="00313B85"/>
    <w:rsid w:val="00313EAD"/>
    <w:rsid w:val="0031671C"/>
    <w:rsid w:val="0031705A"/>
    <w:rsid w:val="00317988"/>
    <w:rsid w:val="003221B4"/>
    <w:rsid w:val="0032258D"/>
    <w:rsid w:val="00322AC1"/>
    <w:rsid w:val="00322E62"/>
    <w:rsid w:val="00324D13"/>
    <w:rsid w:val="00324D2A"/>
    <w:rsid w:val="00324EDD"/>
    <w:rsid w:val="003331E4"/>
    <w:rsid w:val="00333741"/>
    <w:rsid w:val="00336C64"/>
    <w:rsid w:val="00337162"/>
    <w:rsid w:val="00337BF8"/>
    <w:rsid w:val="0034194F"/>
    <w:rsid w:val="00344605"/>
    <w:rsid w:val="003467C8"/>
    <w:rsid w:val="00346B21"/>
    <w:rsid w:val="003474AA"/>
    <w:rsid w:val="00347534"/>
    <w:rsid w:val="00350D1D"/>
    <w:rsid w:val="00351316"/>
    <w:rsid w:val="00352C83"/>
    <w:rsid w:val="00354EDF"/>
    <w:rsid w:val="003615D2"/>
    <w:rsid w:val="003624D5"/>
    <w:rsid w:val="0036429C"/>
    <w:rsid w:val="00364504"/>
    <w:rsid w:val="00364A53"/>
    <w:rsid w:val="003651D0"/>
    <w:rsid w:val="003654CB"/>
    <w:rsid w:val="00365A4A"/>
    <w:rsid w:val="00365AA9"/>
    <w:rsid w:val="00365F86"/>
    <w:rsid w:val="00365F87"/>
    <w:rsid w:val="00366E89"/>
    <w:rsid w:val="003705F4"/>
    <w:rsid w:val="00370D58"/>
    <w:rsid w:val="00371316"/>
    <w:rsid w:val="00376713"/>
    <w:rsid w:val="00381815"/>
    <w:rsid w:val="003819AF"/>
    <w:rsid w:val="003820E9"/>
    <w:rsid w:val="00382DE7"/>
    <w:rsid w:val="00384FFC"/>
    <w:rsid w:val="0038532A"/>
    <w:rsid w:val="003872FC"/>
    <w:rsid w:val="00387ADC"/>
    <w:rsid w:val="00390020"/>
    <w:rsid w:val="003903D6"/>
    <w:rsid w:val="00390EE6"/>
    <w:rsid w:val="0039118F"/>
    <w:rsid w:val="00392AD7"/>
    <w:rsid w:val="003938D9"/>
    <w:rsid w:val="00394376"/>
    <w:rsid w:val="003943FF"/>
    <w:rsid w:val="00395700"/>
    <w:rsid w:val="003958BE"/>
    <w:rsid w:val="00396E2C"/>
    <w:rsid w:val="003974EB"/>
    <w:rsid w:val="00397CC5"/>
    <w:rsid w:val="00397F08"/>
    <w:rsid w:val="003A1582"/>
    <w:rsid w:val="003A20CC"/>
    <w:rsid w:val="003A4077"/>
    <w:rsid w:val="003B09AD"/>
    <w:rsid w:val="003B1F18"/>
    <w:rsid w:val="003B5BF0"/>
    <w:rsid w:val="003B60BF"/>
    <w:rsid w:val="003B6BE3"/>
    <w:rsid w:val="003B6C2C"/>
    <w:rsid w:val="003C010C"/>
    <w:rsid w:val="003C0A6C"/>
    <w:rsid w:val="003C14F8"/>
    <w:rsid w:val="003C1B41"/>
    <w:rsid w:val="003C4052"/>
    <w:rsid w:val="003C45ED"/>
    <w:rsid w:val="003C5A43"/>
    <w:rsid w:val="003D0519"/>
    <w:rsid w:val="003D0FF6"/>
    <w:rsid w:val="003D16C0"/>
    <w:rsid w:val="003D262C"/>
    <w:rsid w:val="003D3CE2"/>
    <w:rsid w:val="003D67A1"/>
    <w:rsid w:val="003D6AF4"/>
    <w:rsid w:val="003D6D61"/>
    <w:rsid w:val="003D79C6"/>
    <w:rsid w:val="003E091D"/>
    <w:rsid w:val="003E1C53"/>
    <w:rsid w:val="003E2A69"/>
    <w:rsid w:val="003E2D49"/>
    <w:rsid w:val="003E2FD4"/>
    <w:rsid w:val="003E49F6"/>
    <w:rsid w:val="003E660F"/>
    <w:rsid w:val="003F0841"/>
    <w:rsid w:val="003F08D3"/>
    <w:rsid w:val="003F23D3"/>
    <w:rsid w:val="003F3F08"/>
    <w:rsid w:val="003F49F1"/>
    <w:rsid w:val="003F6272"/>
    <w:rsid w:val="003F6322"/>
    <w:rsid w:val="0040065D"/>
    <w:rsid w:val="00400E72"/>
    <w:rsid w:val="00401400"/>
    <w:rsid w:val="00404869"/>
    <w:rsid w:val="00405884"/>
    <w:rsid w:val="00407D39"/>
    <w:rsid w:val="0041422C"/>
    <w:rsid w:val="0041477A"/>
    <w:rsid w:val="004167A3"/>
    <w:rsid w:val="004176DE"/>
    <w:rsid w:val="004210C4"/>
    <w:rsid w:val="0042434D"/>
    <w:rsid w:val="004250BB"/>
    <w:rsid w:val="00432DAA"/>
    <w:rsid w:val="00434305"/>
    <w:rsid w:val="00434917"/>
    <w:rsid w:val="00435DF7"/>
    <w:rsid w:val="004367D1"/>
    <w:rsid w:val="0044083F"/>
    <w:rsid w:val="00441AE7"/>
    <w:rsid w:val="004440FA"/>
    <w:rsid w:val="00445574"/>
    <w:rsid w:val="004467FB"/>
    <w:rsid w:val="00452D6B"/>
    <w:rsid w:val="004539DC"/>
    <w:rsid w:val="00454484"/>
    <w:rsid w:val="00454BF3"/>
    <w:rsid w:val="0045517B"/>
    <w:rsid w:val="00463B77"/>
    <w:rsid w:val="00463C7B"/>
    <w:rsid w:val="004644A6"/>
    <w:rsid w:val="004659BD"/>
    <w:rsid w:val="00470775"/>
    <w:rsid w:val="00470B7E"/>
    <w:rsid w:val="00472D2E"/>
    <w:rsid w:val="004746B1"/>
    <w:rsid w:val="0047583F"/>
    <w:rsid w:val="00475DE8"/>
    <w:rsid w:val="0048182E"/>
    <w:rsid w:val="00481C44"/>
    <w:rsid w:val="00482C36"/>
    <w:rsid w:val="00484936"/>
    <w:rsid w:val="00485905"/>
    <w:rsid w:val="00485C89"/>
    <w:rsid w:val="00486BE3"/>
    <w:rsid w:val="00486F4C"/>
    <w:rsid w:val="004905E4"/>
    <w:rsid w:val="00490A89"/>
    <w:rsid w:val="00490AB4"/>
    <w:rsid w:val="00492F02"/>
    <w:rsid w:val="004939AE"/>
    <w:rsid w:val="00496DA9"/>
    <w:rsid w:val="004A12DF"/>
    <w:rsid w:val="004A136C"/>
    <w:rsid w:val="004A17E6"/>
    <w:rsid w:val="004A1BA8"/>
    <w:rsid w:val="004A3CCC"/>
    <w:rsid w:val="004A4B57"/>
    <w:rsid w:val="004A63FA"/>
    <w:rsid w:val="004A7812"/>
    <w:rsid w:val="004B0272"/>
    <w:rsid w:val="004B02C5"/>
    <w:rsid w:val="004B2701"/>
    <w:rsid w:val="004B2E1B"/>
    <w:rsid w:val="004B3AA8"/>
    <w:rsid w:val="004B3E93"/>
    <w:rsid w:val="004B63D1"/>
    <w:rsid w:val="004C1FBC"/>
    <w:rsid w:val="004C3197"/>
    <w:rsid w:val="004C3F1D"/>
    <w:rsid w:val="004C458D"/>
    <w:rsid w:val="004C7556"/>
    <w:rsid w:val="004C7D70"/>
    <w:rsid w:val="004C7E8B"/>
    <w:rsid w:val="004C7E9D"/>
    <w:rsid w:val="004C7F67"/>
    <w:rsid w:val="004D076D"/>
    <w:rsid w:val="004D0B42"/>
    <w:rsid w:val="004D0EF1"/>
    <w:rsid w:val="004D2253"/>
    <w:rsid w:val="004D4406"/>
    <w:rsid w:val="004D5D18"/>
    <w:rsid w:val="004D7C42"/>
    <w:rsid w:val="004E0465"/>
    <w:rsid w:val="004E127B"/>
    <w:rsid w:val="004E1C0A"/>
    <w:rsid w:val="004E2B06"/>
    <w:rsid w:val="004E30C5"/>
    <w:rsid w:val="004E4AA5"/>
    <w:rsid w:val="004E4AEE"/>
    <w:rsid w:val="004E59E3"/>
    <w:rsid w:val="004E67C0"/>
    <w:rsid w:val="004F26F3"/>
    <w:rsid w:val="004F391A"/>
    <w:rsid w:val="004F3BCA"/>
    <w:rsid w:val="004F3CFB"/>
    <w:rsid w:val="004F6456"/>
    <w:rsid w:val="004F696E"/>
    <w:rsid w:val="004F6C71"/>
    <w:rsid w:val="00501139"/>
    <w:rsid w:val="0050363E"/>
    <w:rsid w:val="005039BC"/>
    <w:rsid w:val="005043BB"/>
    <w:rsid w:val="00504A3D"/>
    <w:rsid w:val="00505767"/>
    <w:rsid w:val="00505AA4"/>
    <w:rsid w:val="005073F0"/>
    <w:rsid w:val="00507472"/>
    <w:rsid w:val="00510A7B"/>
    <w:rsid w:val="00510AC6"/>
    <w:rsid w:val="00512F6E"/>
    <w:rsid w:val="00513038"/>
    <w:rsid w:val="00514174"/>
    <w:rsid w:val="005156C6"/>
    <w:rsid w:val="00516088"/>
    <w:rsid w:val="00516B0B"/>
    <w:rsid w:val="005220EC"/>
    <w:rsid w:val="00523EB0"/>
    <w:rsid w:val="00523F95"/>
    <w:rsid w:val="00524D65"/>
    <w:rsid w:val="00525B16"/>
    <w:rsid w:val="00527FE8"/>
    <w:rsid w:val="0053317B"/>
    <w:rsid w:val="00533D04"/>
    <w:rsid w:val="005341B2"/>
    <w:rsid w:val="00534804"/>
    <w:rsid w:val="00534BDF"/>
    <w:rsid w:val="005354EA"/>
    <w:rsid w:val="0053585F"/>
    <w:rsid w:val="00535EC4"/>
    <w:rsid w:val="00535ED9"/>
    <w:rsid w:val="0053692B"/>
    <w:rsid w:val="00537C1C"/>
    <w:rsid w:val="00541853"/>
    <w:rsid w:val="00541A2D"/>
    <w:rsid w:val="00542DE7"/>
    <w:rsid w:val="00543BDA"/>
    <w:rsid w:val="005441CC"/>
    <w:rsid w:val="005473D9"/>
    <w:rsid w:val="005479DA"/>
    <w:rsid w:val="00547BCC"/>
    <w:rsid w:val="0055013B"/>
    <w:rsid w:val="005514A6"/>
    <w:rsid w:val="00551F6F"/>
    <w:rsid w:val="00555044"/>
    <w:rsid w:val="00561475"/>
    <w:rsid w:val="0056487B"/>
    <w:rsid w:val="00564FB9"/>
    <w:rsid w:val="0056591E"/>
    <w:rsid w:val="00566961"/>
    <w:rsid w:val="005703BB"/>
    <w:rsid w:val="00573D9E"/>
    <w:rsid w:val="00575410"/>
    <w:rsid w:val="005801E3"/>
    <w:rsid w:val="00581802"/>
    <w:rsid w:val="005836A8"/>
    <w:rsid w:val="0058409C"/>
    <w:rsid w:val="00584262"/>
    <w:rsid w:val="00586630"/>
    <w:rsid w:val="005873E4"/>
    <w:rsid w:val="00587ADD"/>
    <w:rsid w:val="00591028"/>
    <w:rsid w:val="00591952"/>
    <w:rsid w:val="00591E27"/>
    <w:rsid w:val="00594422"/>
    <w:rsid w:val="005957F1"/>
    <w:rsid w:val="00596160"/>
    <w:rsid w:val="005966E2"/>
    <w:rsid w:val="00597007"/>
    <w:rsid w:val="005A0966"/>
    <w:rsid w:val="005A11B7"/>
    <w:rsid w:val="005A260B"/>
    <w:rsid w:val="005A3650"/>
    <w:rsid w:val="005A4A1B"/>
    <w:rsid w:val="005A698F"/>
    <w:rsid w:val="005A7830"/>
    <w:rsid w:val="005A7FCE"/>
    <w:rsid w:val="005B0F3F"/>
    <w:rsid w:val="005B1013"/>
    <w:rsid w:val="005B2991"/>
    <w:rsid w:val="005B3405"/>
    <w:rsid w:val="005B4903"/>
    <w:rsid w:val="005B51CE"/>
    <w:rsid w:val="005B57E7"/>
    <w:rsid w:val="005B5885"/>
    <w:rsid w:val="005B593C"/>
    <w:rsid w:val="005B5CD7"/>
    <w:rsid w:val="005B6CF6"/>
    <w:rsid w:val="005B7422"/>
    <w:rsid w:val="005C29B8"/>
    <w:rsid w:val="005C5F21"/>
    <w:rsid w:val="005C7156"/>
    <w:rsid w:val="005D0A1B"/>
    <w:rsid w:val="005D0AA2"/>
    <w:rsid w:val="005D0C75"/>
    <w:rsid w:val="005D4171"/>
    <w:rsid w:val="005D6A95"/>
    <w:rsid w:val="005D6B2C"/>
    <w:rsid w:val="005D6D9C"/>
    <w:rsid w:val="005E2335"/>
    <w:rsid w:val="005E2D89"/>
    <w:rsid w:val="005E34CA"/>
    <w:rsid w:val="005E3C18"/>
    <w:rsid w:val="005E6812"/>
    <w:rsid w:val="005E7881"/>
    <w:rsid w:val="005E78E0"/>
    <w:rsid w:val="005F0D9C"/>
    <w:rsid w:val="005F1203"/>
    <w:rsid w:val="005F284E"/>
    <w:rsid w:val="005F2DD0"/>
    <w:rsid w:val="005F4712"/>
    <w:rsid w:val="006001FD"/>
    <w:rsid w:val="0060096E"/>
    <w:rsid w:val="006015CE"/>
    <w:rsid w:val="00604784"/>
    <w:rsid w:val="00606419"/>
    <w:rsid w:val="00607D29"/>
    <w:rsid w:val="00612436"/>
    <w:rsid w:val="00612952"/>
    <w:rsid w:val="006149F4"/>
    <w:rsid w:val="00614CC1"/>
    <w:rsid w:val="00615A9D"/>
    <w:rsid w:val="00617012"/>
    <w:rsid w:val="00617387"/>
    <w:rsid w:val="00617460"/>
    <w:rsid w:val="006205D6"/>
    <w:rsid w:val="006252D8"/>
    <w:rsid w:val="006259BC"/>
    <w:rsid w:val="0062636B"/>
    <w:rsid w:val="00632182"/>
    <w:rsid w:val="00632AE0"/>
    <w:rsid w:val="00633C17"/>
    <w:rsid w:val="00634D9E"/>
    <w:rsid w:val="00635AC4"/>
    <w:rsid w:val="00636E3E"/>
    <w:rsid w:val="006379F7"/>
    <w:rsid w:val="00637E4D"/>
    <w:rsid w:val="00640620"/>
    <w:rsid w:val="00641A1F"/>
    <w:rsid w:val="00644830"/>
    <w:rsid w:val="00645904"/>
    <w:rsid w:val="00651ACB"/>
    <w:rsid w:val="00651C47"/>
    <w:rsid w:val="00651D9B"/>
    <w:rsid w:val="00652051"/>
    <w:rsid w:val="00652AB2"/>
    <w:rsid w:val="00653FED"/>
    <w:rsid w:val="00654EC0"/>
    <w:rsid w:val="0065513A"/>
    <w:rsid w:val="0065525B"/>
    <w:rsid w:val="00655D4F"/>
    <w:rsid w:val="00656D29"/>
    <w:rsid w:val="006617FA"/>
    <w:rsid w:val="00662D6E"/>
    <w:rsid w:val="006640E5"/>
    <w:rsid w:val="006646F1"/>
    <w:rsid w:val="00664929"/>
    <w:rsid w:val="00664F62"/>
    <w:rsid w:val="006655E1"/>
    <w:rsid w:val="00672060"/>
    <w:rsid w:val="00672BFD"/>
    <w:rsid w:val="00672D0C"/>
    <w:rsid w:val="00677003"/>
    <w:rsid w:val="006770F4"/>
    <w:rsid w:val="00677A84"/>
    <w:rsid w:val="0068026D"/>
    <w:rsid w:val="00680A27"/>
    <w:rsid w:val="006816A4"/>
    <w:rsid w:val="006819B8"/>
    <w:rsid w:val="006840A6"/>
    <w:rsid w:val="006850CD"/>
    <w:rsid w:val="00685AAB"/>
    <w:rsid w:val="006906E3"/>
    <w:rsid w:val="00695D22"/>
    <w:rsid w:val="006972F7"/>
    <w:rsid w:val="006A07AA"/>
    <w:rsid w:val="006A1136"/>
    <w:rsid w:val="006A25E5"/>
    <w:rsid w:val="006A2B46"/>
    <w:rsid w:val="006A336D"/>
    <w:rsid w:val="006A37B9"/>
    <w:rsid w:val="006A4A66"/>
    <w:rsid w:val="006B032A"/>
    <w:rsid w:val="006B1150"/>
    <w:rsid w:val="006B2672"/>
    <w:rsid w:val="006B4424"/>
    <w:rsid w:val="006B54BF"/>
    <w:rsid w:val="006B5F44"/>
    <w:rsid w:val="006B5F90"/>
    <w:rsid w:val="006B62E4"/>
    <w:rsid w:val="006C17EC"/>
    <w:rsid w:val="006C1BBA"/>
    <w:rsid w:val="006C2079"/>
    <w:rsid w:val="006C4061"/>
    <w:rsid w:val="006C5A62"/>
    <w:rsid w:val="006C5D68"/>
    <w:rsid w:val="006C6976"/>
    <w:rsid w:val="006C6DD0"/>
    <w:rsid w:val="006C72E9"/>
    <w:rsid w:val="006C762E"/>
    <w:rsid w:val="006D04EA"/>
    <w:rsid w:val="006D0AB7"/>
    <w:rsid w:val="006D16C4"/>
    <w:rsid w:val="006D3E96"/>
    <w:rsid w:val="006D4515"/>
    <w:rsid w:val="006D4BB1"/>
    <w:rsid w:val="006D6593"/>
    <w:rsid w:val="006E23EA"/>
    <w:rsid w:val="006E7BAF"/>
    <w:rsid w:val="006F03A8"/>
    <w:rsid w:val="006F2ACA"/>
    <w:rsid w:val="006F2ADC"/>
    <w:rsid w:val="006F2BFE"/>
    <w:rsid w:val="006F31E9"/>
    <w:rsid w:val="006F6248"/>
    <w:rsid w:val="006F6284"/>
    <w:rsid w:val="007002C5"/>
    <w:rsid w:val="00704387"/>
    <w:rsid w:val="00707669"/>
    <w:rsid w:val="00711CBA"/>
    <w:rsid w:val="00711FB5"/>
    <w:rsid w:val="00712A01"/>
    <w:rsid w:val="00714F58"/>
    <w:rsid w:val="00717E21"/>
    <w:rsid w:val="00722FBF"/>
    <w:rsid w:val="00722FC2"/>
    <w:rsid w:val="00724879"/>
    <w:rsid w:val="00724E1B"/>
    <w:rsid w:val="00725949"/>
    <w:rsid w:val="00727FA2"/>
    <w:rsid w:val="007322D9"/>
    <w:rsid w:val="00732BC0"/>
    <w:rsid w:val="0073720F"/>
    <w:rsid w:val="00737796"/>
    <w:rsid w:val="00740204"/>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665"/>
    <w:rsid w:val="00763D5C"/>
    <w:rsid w:val="00765BCB"/>
    <w:rsid w:val="00765C43"/>
    <w:rsid w:val="00765EFB"/>
    <w:rsid w:val="007660A9"/>
    <w:rsid w:val="007671BA"/>
    <w:rsid w:val="007671CA"/>
    <w:rsid w:val="00767C61"/>
    <w:rsid w:val="00767F14"/>
    <w:rsid w:val="0077008A"/>
    <w:rsid w:val="00771A25"/>
    <w:rsid w:val="00773C1F"/>
    <w:rsid w:val="00774DA4"/>
    <w:rsid w:val="00776599"/>
    <w:rsid w:val="0078114B"/>
    <w:rsid w:val="00781DD2"/>
    <w:rsid w:val="00783ECF"/>
    <w:rsid w:val="0078413A"/>
    <w:rsid w:val="0078448B"/>
    <w:rsid w:val="00790F1C"/>
    <w:rsid w:val="007959E8"/>
    <w:rsid w:val="00795E9C"/>
    <w:rsid w:val="007A0521"/>
    <w:rsid w:val="007A1621"/>
    <w:rsid w:val="007A2E12"/>
    <w:rsid w:val="007A322E"/>
    <w:rsid w:val="007A3475"/>
    <w:rsid w:val="007A38AF"/>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10B0"/>
    <w:rsid w:val="007E1CDE"/>
    <w:rsid w:val="007E3952"/>
    <w:rsid w:val="007E7AF7"/>
    <w:rsid w:val="007F0ED8"/>
    <w:rsid w:val="007F0F63"/>
    <w:rsid w:val="007F6C6D"/>
    <w:rsid w:val="007F75CE"/>
    <w:rsid w:val="008013A4"/>
    <w:rsid w:val="008027CE"/>
    <w:rsid w:val="00802F42"/>
    <w:rsid w:val="00804383"/>
    <w:rsid w:val="00804BB7"/>
    <w:rsid w:val="00804D41"/>
    <w:rsid w:val="00810257"/>
    <w:rsid w:val="008104F5"/>
    <w:rsid w:val="00811072"/>
    <w:rsid w:val="00811090"/>
    <w:rsid w:val="00811369"/>
    <w:rsid w:val="00815419"/>
    <w:rsid w:val="00815E43"/>
    <w:rsid w:val="008163C8"/>
    <w:rsid w:val="008164A1"/>
    <w:rsid w:val="00816B49"/>
    <w:rsid w:val="00817325"/>
    <w:rsid w:val="008209E6"/>
    <w:rsid w:val="008225B4"/>
    <w:rsid w:val="00823303"/>
    <w:rsid w:val="008233B2"/>
    <w:rsid w:val="00823A9F"/>
    <w:rsid w:val="00823B2C"/>
    <w:rsid w:val="00823C85"/>
    <w:rsid w:val="00825138"/>
    <w:rsid w:val="008269DD"/>
    <w:rsid w:val="00830621"/>
    <w:rsid w:val="0083348C"/>
    <w:rsid w:val="008373D3"/>
    <w:rsid w:val="00840617"/>
    <w:rsid w:val="00840F84"/>
    <w:rsid w:val="00842A47"/>
    <w:rsid w:val="00842C4A"/>
    <w:rsid w:val="00843C13"/>
    <w:rsid w:val="008442E1"/>
    <w:rsid w:val="008454F8"/>
    <w:rsid w:val="00847DE1"/>
    <w:rsid w:val="0085173A"/>
    <w:rsid w:val="00854518"/>
    <w:rsid w:val="00856316"/>
    <w:rsid w:val="00856869"/>
    <w:rsid w:val="008603CE"/>
    <w:rsid w:val="00860598"/>
    <w:rsid w:val="008620FC"/>
    <w:rsid w:val="008627A5"/>
    <w:rsid w:val="0086287E"/>
    <w:rsid w:val="00863E05"/>
    <w:rsid w:val="00865ACA"/>
    <w:rsid w:val="00865D28"/>
    <w:rsid w:val="00865F85"/>
    <w:rsid w:val="00867C10"/>
    <w:rsid w:val="00870439"/>
    <w:rsid w:val="008705FE"/>
    <w:rsid w:val="00870DA1"/>
    <w:rsid w:val="00880005"/>
    <w:rsid w:val="00880BA6"/>
    <w:rsid w:val="00881FB6"/>
    <w:rsid w:val="008829F4"/>
    <w:rsid w:val="00883F93"/>
    <w:rsid w:val="0088495E"/>
    <w:rsid w:val="00884DB3"/>
    <w:rsid w:val="00885A9D"/>
    <w:rsid w:val="008864F6"/>
    <w:rsid w:val="0089049D"/>
    <w:rsid w:val="008928C9"/>
    <w:rsid w:val="008930CB"/>
    <w:rsid w:val="008938DC"/>
    <w:rsid w:val="00893FD1"/>
    <w:rsid w:val="00894836"/>
    <w:rsid w:val="00895172"/>
    <w:rsid w:val="00895680"/>
    <w:rsid w:val="00896DFF"/>
    <w:rsid w:val="0089762C"/>
    <w:rsid w:val="00897970"/>
    <w:rsid w:val="008A1893"/>
    <w:rsid w:val="008A3215"/>
    <w:rsid w:val="008A57E6"/>
    <w:rsid w:val="008A6F81"/>
    <w:rsid w:val="008A769A"/>
    <w:rsid w:val="008B0C9C"/>
    <w:rsid w:val="008B12DF"/>
    <w:rsid w:val="008B166D"/>
    <w:rsid w:val="008B17F4"/>
    <w:rsid w:val="008B3615"/>
    <w:rsid w:val="008B4AC4"/>
    <w:rsid w:val="008B50C8"/>
    <w:rsid w:val="008B5281"/>
    <w:rsid w:val="008B7E05"/>
    <w:rsid w:val="008C1797"/>
    <w:rsid w:val="008C219C"/>
    <w:rsid w:val="008C2975"/>
    <w:rsid w:val="008C475E"/>
    <w:rsid w:val="008C619A"/>
    <w:rsid w:val="008C7B56"/>
    <w:rsid w:val="008D0CE8"/>
    <w:rsid w:val="008D2D1D"/>
    <w:rsid w:val="008D3B55"/>
    <w:rsid w:val="008D453D"/>
    <w:rsid w:val="008D4656"/>
    <w:rsid w:val="008D53AD"/>
    <w:rsid w:val="008D562B"/>
    <w:rsid w:val="008D5733"/>
    <w:rsid w:val="008D622B"/>
    <w:rsid w:val="008D666C"/>
    <w:rsid w:val="008D7B54"/>
    <w:rsid w:val="008E0C9D"/>
    <w:rsid w:val="008E1648"/>
    <w:rsid w:val="008E1B3E"/>
    <w:rsid w:val="008E1EC7"/>
    <w:rsid w:val="008E2319"/>
    <w:rsid w:val="008E3854"/>
    <w:rsid w:val="008E4BB6"/>
    <w:rsid w:val="008E5518"/>
    <w:rsid w:val="008E6A84"/>
    <w:rsid w:val="008E7C87"/>
    <w:rsid w:val="008F0CDC"/>
    <w:rsid w:val="008F17A3"/>
    <w:rsid w:val="008F1ED3"/>
    <w:rsid w:val="008F23A5"/>
    <w:rsid w:val="008F4C29"/>
    <w:rsid w:val="008F672F"/>
    <w:rsid w:val="008F70BD"/>
    <w:rsid w:val="008F788F"/>
    <w:rsid w:val="008F7EA2"/>
    <w:rsid w:val="00902722"/>
    <w:rsid w:val="009027BC"/>
    <w:rsid w:val="009030F0"/>
    <w:rsid w:val="009062E6"/>
    <w:rsid w:val="00911BE5"/>
    <w:rsid w:val="00911C48"/>
    <w:rsid w:val="00913CA9"/>
    <w:rsid w:val="009145AE"/>
    <w:rsid w:val="009146CE"/>
    <w:rsid w:val="009147C5"/>
    <w:rsid w:val="00914CA7"/>
    <w:rsid w:val="00915C3E"/>
    <w:rsid w:val="009161A8"/>
    <w:rsid w:val="00921CC3"/>
    <w:rsid w:val="009245F5"/>
    <w:rsid w:val="009249EC"/>
    <w:rsid w:val="009273B3"/>
    <w:rsid w:val="009305B5"/>
    <w:rsid w:val="00934306"/>
    <w:rsid w:val="00935DB5"/>
    <w:rsid w:val="009402BC"/>
    <w:rsid w:val="009429D5"/>
    <w:rsid w:val="00942BF1"/>
    <w:rsid w:val="0094515C"/>
    <w:rsid w:val="00945180"/>
    <w:rsid w:val="00945428"/>
    <w:rsid w:val="009459B6"/>
    <w:rsid w:val="0094607B"/>
    <w:rsid w:val="00953604"/>
    <w:rsid w:val="0095496B"/>
    <w:rsid w:val="009603DA"/>
    <w:rsid w:val="009610DC"/>
    <w:rsid w:val="00961490"/>
    <w:rsid w:val="0096381A"/>
    <w:rsid w:val="0096497B"/>
    <w:rsid w:val="00965E04"/>
    <w:rsid w:val="009674AD"/>
    <w:rsid w:val="00970CDC"/>
    <w:rsid w:val="00971903"/>
    <w:rsid w:val="00973507"/>
    <w:rsid w:val="00977010"/>
    <w:rsid w:val="00977D02"/>
    <w:rsid w:val="00977D5E"/>
    <w:rsid w:val="009809BB"/>
    <w:rsid w:val="0098364B"/>
    <w:rsid w:val="00987600"/>
    <w:rsid w:val="009911AF"/>
    <w:rsid w:val="00991875"/>
    <w:rsid w:val="00991F92"/>
    <w:rsid w:val="0099273D"/>
    <w:rsid w:val="00992985"/>
    <w:rsid w:val="00993889"/>
    <w:rsid w:val="0099551B"/>
    <w:rsid w:val="00996C94"/>
    <w:rsid w:val="00997BF1"/>
    <w:rsid w:val="009A089C"/>
    <w:rsid w:val="009A118E"/>
    <w:rsid w:val="009A21CD"/>
    <w:rsid w:val="009A278C"/>
    <w:rsid w:val="009A2BC2"/>
    <w:rsid w:val="009A3D70"/>
    <w:rsid w:val="009A42C1"/>
    <w:rsid w:val="009A5429"/>
    <w:rsid w:val="009A72AD"/>
    <w:rsid w:val="009B09E0"/>
    <w:rsid w:val="009B0BC5"/>
    <w:rsid w:val="009B1247"/>
    <w:rsid w:val="009B219A"/>
    <w:rsid w:val="009B46F9"/>
    <w:rsid w:val="009B6029"/>
    <w:rsid w:val="009B6971"/>
    <w:rsid w:val="009C1F5A"/>
    <w:rsid w:val="009C27F1"/>
    <w:rsid w:val="009C3152"/>
    <w:rsid w:val="009C3FF7"/>
    <w:rsid w:val="009C4CFA"/>
    <w:rsid w:val="009C5070"/>
    <w:rsid w:val="009D112C"/>
    <w:rsid w:val="009D37A7"/>
    <w:rsid w:val="009D47FA"/>
    <w:rsid w:val="009D4C5B"/>
    <w:rsid w:val="009D50D2"/>
    <w:rsid w:val="009D6BCA"/>
    <w:rsid w:val="009E0C5D"/>
    <w:rsid w:val="009E0F62"/>
    <w:rsid w:val="009E42CA"/>
    <w:rsid w:val="009E4A58"/>
    <w:rsid w:val="009E59A5"/>
    <w:rsid w:val="009E5A2D"/>
    <w:rsid w:val="009E5AB2"/>
    <w:rsid w:val="009E6219"/>
    <w:rsid w:val="009F03B3"/>
    <w:rsid w:val="009F1B1C"/>
    <w:rsid w:val="009F4C1B"/>
    <w:rsid w:val="009F7587"/>
    <w:rsid w:val="00A0096C"/>
    <w:rsid w:val="00A009B2"/>
    <w:rsid w:val="00A00FA9"/>
    <w:rsid w:val="00A01757"/>
    <w:rsid w:val="00A028C0"/>
    <w:rsid w:val="00A02BAE"/>
    <w:rsid w:val="00A0418C"/>
    <w:rsid w:val="00A05B41"/>
    <w:rsid w:val="00A06A6B"/>
    <w:rsid w:val="00A06E64"/>
    <w:rsid w:val="00A07E47"/>
    <w:rsid w:val="00A129D0"/>
    <w:rsid w:val="00A12C33"/>
    <w:rsid w:val="00A138BA"/>
    <w:rsid w:val="00A14C8E"/>
    <w:rsid w:val="00A153D9"/>
    <w:rsid w:val="00A15F09"/>
    <w:rsid w:val="00A169B6"/>
    <w:rsid w:val="00A21952"/>
    <w:rsid w:val="00A2271D"/>
    <w:rsid w:val="00A237D5"/>
    <w:rsid w:val="00A27126"/>
    <w:rsid w:val="00A30EFC"/>
    <w:rsid w:val="00A31984"/>
    <w:rsid w:val="00A31CCC"/>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CE7"/>
    <w:rsid w:val="00A5530D"/>
    <w:rsid w:val="00A55BD6"/>
    <w:rsid w:val="00A55D50"/>
    <w:rsid w:val="00A57142"/>
    <w:rsid w:val="00A57FDA"/>
    <w:rsid w:val="00A648CD"/>
    <w:rsid w:val="00A6537A"/>
    <w:rsid w:val="00A65BCB"/>
    <w:rsid w:val="00A673FF"/>
    <w:rsid w:val="00A67866"/>
    <w:rsid w:val="00A70B07"/>
    <w:rsid w:val="00A723F8"/>
    <w:rsid w:val="00A73C03"/>
    <w:rsid w:val="00A77CCB"/>
    <w:rsid w:val="00A83D8D"/>
    <w:rsid w:val="00A8446B"/>
    <w:rsid w:val="00A8473F"/>
    <w:rsid w:val="00A862D6"/>
    <w:rsid w:val="00A8635A"/>
    <w:rsid w:val="00A8715E"/>
    <w:rsid w:val="00A9295B"/>
    <w:rsid w:val="00A93B09"/>
    <w:rsid w:val="00A93D49"/>
    <w:rsid w:val="00A94247"/>
    <w:rsid w:val="00A952D7"/>
    <w:rsid w:val="00A963F7"/>
    <w:rsid w:val="00A969C3"/>
    <w:rsid w:val="00A96AD8"/>
    <w:rsid w:val="00AA052C"/>
    <w:rsid w:val="00AA1405"/>
    <w:rsid w:val="00AA15CE"/>
    <w:rsid w:val="00AA1E45"/>
    <w:rsid w:val="00AA4286"/>
    <w:rsid w:val="00AA456B"/>
    <w:rsid w:val="00AA57F5"/>
    <w:rsid w:val="00AA5F73"/>
    <w:rsid w:val="00AA672E"/>
    <w:rsid w:val="00AA6EC9"/>
    <w:rsid w:val="00AB41D5"/>
    <w:rsid w:val="00AB5C65"/>
    <w:rsid w:val="00AB6309"/>
    <w:rsid w:val="00AB6C5F"/>
    <w:rsid w:val="00AB7129"/>
    <w:rsid w:val="00AC1235"/>
    <w:rsid w:val="00AC27A6"/>
    <w:rsid w:val="00AC30F7"/>
    <w:rsid w:val="00AC3A5A"/>
    <w:rsid w:val="00AC4D95"/>
    <w:rsid w:val="00AC5DF4"/>
    <w:rsid w:val="00AC655D"/>
    <w:rsid w:val="00AD0AEF"/>
    <w:rsid w:val="00AD11B7"/>
    <w:rsid w:val="00AD1A94"/>
    <w:rsid w:val="00AD1C05"/>
    <w:rsid w:val="00AD4126"/>
    <w:rsid w:val="00AD421C"/>
    <w:rsid w:val="00AD44FA"/>
    <w:rsid w:val="00AD5DF3"/>
    <w:rsid w:val="00AE070A"/>
    <w:rsid w:val="00AE101C"/>
    <w:rsid w:val="00AE20C8"/>
    <w:rsid w:val="00AE37E5"/>
    <w:rsid w:val="00AE5EB4"/>
    <w:rsid w:val="00AE7526"/>
    <w:rsid w:val="00AF0C18"/>
    <w:rsid w:val="00AF47C5"/>
    <w:rsid w:val="00AF5398"/>
    <w:rsid w:val="00B049AF"/>
    <w:rsid w:val="00B0645F"/>
    <w:rsid w:val="00B07242"/>
    <w:rsid w:val="00B10534"/>
    <w:rsid w:val="00B113DB"/>
    <w:rsid w:val="00B11D8A"/>
    <w:rsid w:val="00B12981"/>
    <w:rsid w:val="00B147DD"/>
    <w:rsid w:val="00B156FD"/>
    <w:rsid w:val="00B15A08"/>
    <w:rsid w:val="00B2099C"/>
    <w:rsid w:val="00B21F61"/>
    <w:rsid w:val="00B25F3A"/>
    <w:rsid w:val="00B261F1"/>
    <w:rsid w:val="00B265BC"/>
    <w:rsid w:val="00B31098"/>
    <w:rsid w:val="00B31FB1"/>
    <w:rsid w:val="00B33952"/>
    <w:rsid w:val="00B33C5E"/>
    <w:rsid w:val="00B342F4"/>
    <w:rsid w:val="00B34369"/>
    <w:rsid w:val="00B344FB"/>
    <w:rsid w:val="00B34DC2"/>
    <w:rsid w:val="00B378E5"/>
    <w:rsid w:val="00B4346D"/>
    <w:rsid w:val="00B440F4"/>
    <w:rsid w:val="00B447A5"/>
    <w:rsid w:val="00B4654C"/>
    <w:rsid w:val="00B46AF0"/>
    <w:rsid w:val="00B47293"/>
    <w:rsid w:val="00B50E50"/>
    <w:rsid w:val="00B52120"/>
    <w:rsid w:val="00B54ABC"/>
    <w:rsid w:val="00B54DDE"/>
    <w:rsid w:val="00B56684"/>
    <w:rsid w:val="00B56F9C"/>
    <w:rsid w:val="00B56FBE"/>
    <w:rsid w:val="00B60ACF"/>
    <w:rsid w:val="00B6128E"/>
    <w:rsid w:val="00B62B58"/>
    <w:rsid w:val="00B62C5B"/>
    <w:rsid w:val="00B65149"/>
    <w:rsid w:val="00B66567"/>
    <w:rsid w:val="00B66F52"/>
    <w:rsid w:val="00B66FE5"/>
    <w:rsid w:val="00B72880"/>
    <w:rsid w:val="00B758BF"/>
    <w:rsid w:val="00B760ED"/>
    <w:rsid w:val="00B77EC8"/>
    <w:rsid w:val="00B827A6"/>
    <w:rsid w:val="00B831CE"/>
    <w:rsid w:val="00B83674"/>
    <w:rsid w:val="00B84757"/>
    <w:rsid w:val="00B84B5D"/>
    <w:rsid w:val="00B86677"/>
    <w:rsid w:val="00B87131"/>
    <w:rsid w:val="00B939B1"/>
    <w:rsid w:val="00B96D40"/>
    <w:rsid w:val="00B97386"/>
    <w:rsid w:val="00B97CB5"/>
    <w:rsid w:val="00BA263B"/>
    <w:rsid w:val="00BA42B2"/>
    <w:rsid w:val="00BA438C"/>
    <w:rsid w:val="00BA58D4"/>
    <w:rsid w:val="00BA59D6"/>
    <w:rsid w:val="00BA5B9E"/>
    <w:rsid w:val="00BA6E7E"/>
    <w:rsid w:val="00BA7C9A"/>
    <w:rsid w:val="00BB203B"/>
    <w:rsid w:val="00BB5F8F"/>
    <w:rsid w:val="00BB657A"/>
    <w:rsid w:val="00BC1A4E"/>
    <w:rsid w:val="00BC4790"/>
    <w:rsid w:val="00BC5DC7"/>
    <w:rsid w:val="00BC6B8B"/>
    <w:rsid w:val="00BC73D8"/>
    <w:rsid w:val="00BD52D7"/>
    <w:rsid w:val="00BD5AD2"/>
    <w:rsid w:val="00BE22F3"/>
    <w:rsid w:val="00BE28CB"/>
    <w:rsid w:val="00BE3519"/>
    <w:rsid w:val="00BE5248"/>
    <w:rsid w:val="00BE5B52"/>
    <w:rsid w:val="00BE63AA"/>
    <w:rsid w:val="00BE7B8D"/>
    <w:rsid w:val="00BF0993"/>
    <w:rsid w:val="00BF10A9"/>
    <w:rsid w:val="00BF1703"/>
    <w:rsid w:val="00BF231C"/>
    <w:rsid w:val="00BF24B3"/>
    <w:rsid w:val="00BF51E5"/>
    <w:rsid w:val="00BF74A6"/>
    <w:rsid w:val="00C00967"/>
    <w:rsid w:val="00C013AD"/>
    <w:rsid w:val="00C04904"/>
    <w:rsid w:val="00C05197"/>
    <w:rsid w:val="00C056B3"/>
    <w:rsid w:val="00C06633"/>
    <w:rsid w:val="00C103E5"/>
    <w:rsid w:val="00C13319"/>
    <w:rsid w:val="00C13333"/>
    <w:rsid w:val="00C13EE9"/>
    <w:rsid w:val="00C15AF8"/>
    <w:rsid w:val="00C20639"/>
    <w:rsid w:val="00C21540"/>
    <w:rsid w:val="00C21906"/>
    <w:rsid w:val="00C21BFA"/>
    <w:rsid w:val="00C22148"/>
    <w:rsid w:val="00C24846"/>
    <w:rsid w:val="00C24C8D"/>
    <w:rsid w:val="00C25FE2"/>
    <w:rsid w:val="00C26B53"/>
    <w:rsid w:val="00C279B2"/>
    <w:rsid w:val="00C30909"/>
    <w:rsid w:val="00C3136B"/>
    <w:rsid w:val="00C32191"/>
    <w:rsid w:val="00C33E50"/>
    <w:rsid w:val="00C34C20"/>
    <w:rsid w:val="00C35A3E"/>
    <w:rsid w:val="00C42130"/>
    <w:rsid w:val="00C42351"/>
    <w:rsid w:val="00C423A4"/>
    <w:rsid w:val="00C44BF5"/>
    <w:rsid w:val="00C471EC"/>
    <w:rsid w:val="00C521D6"/>
    <w:rsid w:val="00C55232"/>
    <w:rsid w:val="00C553A4"/>
    <w:rsid w:val="00C55A06"/>
    <w:rsid w:val="00C55D03"/>
    <w:rsid w:val="00C5614C"/>
    <w:rsid w:val="00C57CEB"/>
    <w:rsid w:val="00C601BC"/>
    <w:rsid w:val="00C6329F"/>
    <w:rsid w:val="00C63340"/>
    <w:rsid w:val="00C643F9"/>
    <w:rsid w:val="00C64E95"/>
    <w:rsid w:val="00C6664A"/>
    <w:rsid w:val="00C71372"/>
    <w:rsid w:val="00C72410"/>
    <w:rsid w:val="00C7287F"/>
    <w:rsid w:val="00C80CB8"/>
    <w:rsid w:val="00C819F8"/>
    <w:rsid w:val="00C8248C"/>
    <w:rsid w:val="00C84E33"/>
    <w:rsid w:val="00C86D6F"/>
    <w:rsid w:val="00C905FC"/>
    <w:rsid w:val="00C92D03"/>
    <w:rsid w:val="00C9319C"/>
    <w:rsid w:val="00C9435D"/>
    <w:rsid w:val="00C947D3"/>
    <w:rsid w:val="00C94DF2"/>
    <w:rsid w:val="00C96741"/>
    <w:rsid w:val="00C968A2"/>
    <w:rsid w:val="00C97801"/>
    <w:rsid w:val="00CA0DE4"/>
    <w:rsid w:val="00CA2D1B"/>
    <w:rsid w:val="00CA375D"/>
    <w:rsid w:val="00CA662A"/>
    <w:rsid w:val="00CA7AFD"/>
    <w:rsid w:val="00CA7C3C"/>
    <w:rsid w:val="00CB0189"/>
    <w:rsid w:val="00CB0BA2"/>
    <w:rsid w:val="00CB1A42"/>
    <w:rsid w:val="00CB1B0C"/>
    <w:rsid w:val="00CB2C0B"/>
    <w:rsid w:val="00CB3DBC"/>
    <w:rsid w:val="00CB45DA"/>
    <w:rsid w:val="00CB517D"/>
    <w:rsid w:val="00CC038D"/>
    <w:rsid w:val="00CC08DB"/>
    <w:rsid w:val="00CC1567"/>
    <w:rsid w:val="00CC39FF"/>
    <w:rsid w:val="00CC3C2F"/>
    <w:rsid w:val="00CC4AC8"/>
    <w:rsid w:val="00CC4D76"/>
    <w:rsid w:val="00CC5233"/>
    <w:rsid w:val="00CC5DE6"/>
    <w:rsid w:val="00CC6E4E"/>
    <w:rsid w:val="00CC6FE8"/>
    <w:rsid w:val="00CC7202"/>
    <w:rsid w:val="00CC7FED"/>
    <w:rsid w:val="00CD2808"/>
    <w:rsid w:val="00CD28BF"/>
    <w:rsid w:val="00CD4092"/>
    <w:rsid w:val="00CD42E0"/>
    <w:rsid w:val="00CD4A20"/>
    <w:rsid w:val="00CD50A1"/>
    <w:rsid w:val="00CD519E"/>
    <w:rsid w:val="00CD532B"/>
    <w:rsid w:val="00CD561D"/>
    <w:rsid w:val="00CD6D7B"/>
    <w:rsid w:val="00CE03FD"/>
    <w:rsid w:val="00CE0C4F"/>
    <w:rsid w:val="00CE116D"/>
    <w:rsid w:val="00CE30EA"/>
    <w:rsid w:val="00CE3378"/>
    <w:rsid w:val="00CE4E49"/>
    <w:rsid w:val="00CF048A"/>
    <w:rsid w:val="00CF0BB6"/>
    <w:rsid w:val="00CF155A"/>
    <w:rsid w:val="00CF253C"/>
    <w:rsid w:val="00CF2947"/>
    <w:rsid w:val="00CF338D"/>
    <w:rsid w:val="00CF686F"/>
    <w:rsid w:val="00CF6E60"/>
    <w:rsid w:val="00CF7BCA"/>
    <w:rsid w:val="00D008FD"/>
    <w:rsid w:val="00D00FB6"/>
    <w:rsid w:val="00D0321C"/>
    <w:rsid w:val="00D035EC"/>
    <w:rsid w:val="00D061A1"/>
    <w:rsid w:val="00D06AB1"/>
    <w:rsid w:val="00D07159"/>
    <w:rsid w:val="00D072ED"/>
    <w:rsid w:val="00D07A16"/>
    <w:rsid w:val="00D1067E"/>
    <w:rsid w:val="00D10F50"/>
    <w:rsid w:val="00D11272"/>
    <w:rsid w:val="00D126F5"/>
    <w:rsid w:val="00D1489E"/>
    <w:rsid w:val="00D16724"/>
    <w:rsid w:val="00D17EF2"/>
    <w:rsid w:val="00D20737"/>
    <w:rsid w:val="00D21E81"/>
    <w:rsid w:val="00D223DE"/>
    <w:rsid w:val="00D25E37"/>
    <w:rsid w:val="00D2661A"/>
    <w:rsid w:val="00D27582"/>
    <w:rsid w:val="00D27EC4"/>
    <w:rsid w:val="00D32719"/>
    <w:rsid w:val="00D33333"/>
    <w:rsid w:val="00D33457"/>
    <w:rsid w:val="00D352A2"/>
    <w:rsid w:val="00D4162B"/>
    <w:rsid w:val="00D44F66"/>
    <w:rsid w:val="00D4514F"/>
    <w:rsid w:val="00D451E2"/>
    <w:rsid w:val="00D45E89"/>
    <w:rsid w:val="00D45E8D"/>
    <w:rsid w:val="00D466AE"/>
    <w:rsid w:val="00D4734F"/>
    <w:rsid w:val="00D51BF3"/>
    <w:rsid w:val="00D66846"/>
    <w:rsid w:val="00D675FB"/>
    <w:rsid w:val="00D706DA"/>
    <w:rsid w:val="00D71F25"/>
    <w:rsid w:val="00D72A9C"/>
    <w:rsid w:val="00D75196"/>
    <w:rsid w:val="00D77031"/>
    <w:rsid w:val="00D81106"/>
    <w:rsid w:val="00D83260"/>
    <w:rsid w:val="00D84941"/>
    <w:rsid w:val="00D84FA1"/>
    <w:rsid w:val="00D851F0"/>
    <w:rsid w:val="00D86DB7"/>
    <w:rsid w:val="00D870C9"/>
    <w:rsid w:val="00D92224"/>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04D4"/>
    <w:rsid w:val="00DB0619"/>
    <w:rsid w:val="00DB38EE"/>
    <w:rsid w:val="00DB498B"/>
    <w:rsid w:val="00DB66CA"/>
    <w:rsid w:val="00DB6BCA"/>
    <w:rsid w:val="00DB73F7"/>
    <w:rsid w:val="00DC0321"/>
    <w:rsid w:val="00DC187F"/>
    <w:rsid w:val="00DC3067"/>
    <w:rsid w:val="00DC370B"/>
    <w:rsid w:val="00DC5317"/>
    <w:rsid w:val="00DC5B90"/>
    <w:rsid w:val="00DD00FF"/>
    <w:rsid w:val="00DD0407"/>
    <w:rsid w:val="00DD0619"/>
    <w:rsid w:val="00DD07FB"/>
    <w:rsid w:val="00DD25C6"/>
    <w:rsid w:val="00DD4FE5"/>
    <w:rsid w:val="00DD54B0"/>
    <w:rsid w:val="00DD576D"/>
    <w:rsid w:val="00DD57EE"/>
    <w:rsid w:val="00DD6BCC"/>
    <w:rsid w:val="00DE02EF"/>
    <w:rsid w:val="00DE0A4B"/>
    <w:rsid w:val="00DE1F9E"/>
    <w:rsid w:val="00DE2410"/>
    <w:rsid w:val="00DE2939"/>
    <w:rsid w:val="00DE3A8F"/>
    <w:rsid w:val="00DE6A38"/>
    <w:rsid w:val="00DE6E81"/>
    <w:rsid w:val="00DE703F"/>
    <w:rsid w:val="00DE7595"/>
    <w:rsid w:val="00DF1961"/>
    <w:rsid w:val="00DF44DE"/>
    <w:rsid w:val="00DF536B"/>
    <w:rsid w:val="00DF5F11"/>
    <w:rsid w:val="00E01138"/>
    <w:rsid w:val="00E025B2"/>
    <w:rsid w:val="00E02DFB"/>
    <w:rsid w:val="00E030F9"/>
    <w:rsid w:val="00E0311A"/>
    <w:rsid w:val="00E03138"/>
    <w:rsid w:val="00E06404"/>
    <w:rsid w:val="00E065D2"/>
    <w:rsid w:val="00E11A85"/>
    <w:rsid w:val="00E12495"/>
    <w:rsid w:val="00E141DF"/>
    <w:rsid w:val="00E14D2C"/>
    <w:rsid w:val="00E15CCD"/>
    <w:rsid w:val="00E202EF"/>
    <w:rsid w:val="00E210B5"/>
    <w:rsid w:val="00E23D99"/>
    <w:rsid w:val="00E2552F"/>
    <w:rsid w:val="00E3137A"/>
    <w:rsid w:val="00E31CA1"/>
    <w:rsid w:val="00E328AD"/>
    <w:rsid w:val="00E32CCF"/>
    <w:rsid w:val="00E32DD3"/>
    <w:rsid w:val="00E3359A"/>
    <w:rsid w:val="00E34A98"/>
    <w:rsid w:val="00E35D1E"/>
    <w:rsid w:val="00E364F9"/>
    <w:rsid w:val="00E365FA"/>
    <w:rsid w:val="00E36789"/>
    <w:rsid w:val="00E375A1"/>
    <w:rsid w:val="00E414E0"/>
    <w:rsid w:val="00E422C8"/>
    <w:rsid w:val="00E44A83"/>
    <w:rsid w:val="00E502C1"/>
    <w:rsid w:val="00E502DD"/>
    <w:rsid w:val="00E50D3A"/>
    <w:rsid w:val="00E51387"/>
    <w:rsid w:val="00E51E68"/>
    <w:rsid w:val="00E52EFD"/>
    <w:rsid w:val="00E5408A"/>
    <w:rsid w:val="00E54DE7"/>
    <w:rsid w:val="00E56800"/>
    <w:rsid w:val="00E60C63"/>
    <w:rsid w:val="00E62FF9"/>
    <w:rsid w:val="00E635D6"/>
    <w:rsid w:val="00E639BC"/>
    <w:rsid w:val="00E664CC"/>
    <w:rsid w:val="00E70388"/>
    <w:rsid w:val="00E70AB9"/>
    <w:rsid w:val="00E70F92"/>
    <w:rsid w:val="00E74C54"/>
    <w:rsid w:val="00E763C2"/>
    <w:rsid w:val="00E77A03"/>
    <w:rsid w:val="00E822E8"/>
    <w:rsid w:val="00E82554"/>
    <w:rsid w:val="00E82606"/>
    <w:rsid w:val="00E82E03"/>
    <w:rsid w:val="00E8352C"/>
    <w:rsid w:val="00E846C8"/>
    <w:rsid w:val="00E84957"/>
    <w:rsid w:val="00E84A55"/>
    <w:rsid w:val="00E85BFF"/>
    <w:rsid w:val="00E86B35"/>
    <w:rsid w:val="00E90391"/>
    <w:rsid w:val="00E906C2"/>
    <w:rsid w:val="00E9311F"/>
    <w:rsid w:val="00E934D1"/>
    <w:rsid w:val="00E94AF0"/>
    <w:rsid w:val="00E95D13"/>
    <w:rsid w:val="00E95DD3"/>
    <w:rsid w:val="00E96166"/>
    <w:rsid w:val="00E969D5"/>
    <w:rsid w:val="00EA233A"/>
    <w:rsid w:val="00EA4A91"/>
    <w:rsid w:val="00EA58D1"/>
    <w:rsid w:val="00EA61BC"/>
    <w:rsid w:val="00EA6296"/>
    <w:rsid w:val="00EA681A"/>
    <w:rsid w:val="00EA735B"/>
    <w:rsid w:val="00EB0197"/>
    <w:rsid w:val="00EB17DE"/>
    <w:rsid w:val="00EB1E69"/>
    <w:rsid w:val="00EB2086"/>
    <w:rsid w:val="00EB5EDF"/>
    <w:rsid w:val="00EB60FE"/>
    <w:rsid w:val="00EB6110"/>
    <w:rsid w:val="00EB62B9"/>
    <w:rsid w:val="00EB74DB"/>
    <w:rsid w:val="00EC5359"/>
    <w:rsid w:val="00EC562A"/>
    <w:rsid w:val="00EC6712"/>
    <w:rsid w:val="00EC79E6"/>
    <w:rsid w:val="00ED067A"/>
    <w:rsid w:val="00ED2B50"/>
    <w:rsid w:val="00ED4516"/>
    <w:rsid w:val="00EE0350"/>
    <w:rsid w:val="00EE0719"/>
    <w:rsid w:val="00EE0E80"/>
    <w:rsid w:val="00EE122C"/>
    <w:rsid w:val="00EE54A6"/>
    <w:rsid w:val="00EE613F"/>
    <w:rsid w:val="00EE7295"/>
    <w:rsid w:val="00EE7869"/>
    <w:rsid w:val="00EF054A"/>
    <w:rsid w:val="00EF3235"/>
    <w:rsid w:val="00EF7E72"/>
    <w:rsid w:val="00F00060"/>
    <w:rsid w:val="00F04E28"/>
    <w:rsid w:val="00F06D37"/>
    <w:rsid w:val="00F07B9D"/>
    <w:rsid w:val="00F11586"/>
    <w:rsid w:val="00F1183B"/>
    <w:rsid w:val="00F11C9F"/>
    <w:rsid w:val="00F12255"/>
    <w:rsid w:val="00F12263"/>
    <w:rsid w:val="00F1409D"/>
    <w:rsid w:val="00F14214"/>
    <w:rsid w:val="00F157A9"/>
    <w:rsid w:val="00F25BB6"/>
    <w:rsid w:val="00F26B7E"/>
    <w:rsid w:val="00F27A3B"/>
    <w:rsid w:val="00F33817"/>
    <w:rsid w:val="00F34C8D"/>
    <w:rsid w:val="00F420D5"/>
    <w:rsid w:val="00F451EA"/>
    <w:rsid w:val="00F45447"/>
    <w:rsid w:val="00F456C6"/>
    <w:rsid w:val="00F4577B"/>
    <w:rsid w:val="00F46496"/>
    <w:rsid w:val="00F474D0"/>
    <w:rsid w:val="00F50179"/>
    <w:rsid w:val="00F515EE"/>
    <w:rsid w:val="00F516DB"/>
    <w:rsid w:val="00F536A5"/>
    <w:rsid w:val="00F56511"/>
    <w:rsid w:val="00F6194E"/>
    <w:rsid w:val="00F623AC"/>
    <w:rsid w:val="00F6412A"/>
    <w:rsid w:val="00F65893"/>
    <w:rsid w:val="00F6591B"/>
    <w:rsid w:val="00F66552"/>
    <w:rsid w:val="00F66A4A"/>
    <w:rsid w:val="00F71CC9"/>
    <w:rsid w:val="00F71E22"/>
    <w:rsid w:val="00F72142"/>
    <w:rsid w:val="00F72372"/>
    <w:rsid w:val="00F72AE7"/>
    <w:rsid w:val="00F73913"/>
    <w:rsid w:val="00F74A57"/>
    <w:rsid w:val="00F80ABD"/>
    <w:rsid w:val="00F81141"/>
    <w:rsid w:val="00F833BA"/>
    <w:rsid w:val="00F84FD0"/>
    <w:rsid w:val="00F859A8"/>
    <w:rsid w:val="00F86D87"/>
    <w:rsid w:val="00F90E8C"/>
    <w:rsid w:val="00F9108B"/>
    <w:rsid w:val="00F91349"/>
    <w:rsid w:val="00F9386D"/>
    <w:rsid w:val="00F93A8A"/>
    <w:rsid w:val="00F95248"/>
    <w:rsid w:val="00F956A9"/>
    <w:rsid w:val="00F963ED"/>
    <w:rsid w:val="00F966CF"/>
    <w:rsid w:val="00F96CAE"/>
    <w:rsid w:val="00F97C99"/>
    <w:rsid w:val="00FA0486"/>
    <w:rsid w:val="00FA0FBE"/>
    <w:rsid w:val="00FA2CBF"/>
    <w:rsid w:val="00FA4DAC"/>
    <w:rsid w:val="00FA662D"/>
    <w:rsid w:val="00FA73B1"/>
    <w:rsid w:val="00FB0CB9"/>
    <w:rsid w:val="00FB231D"/>
    <w:rsid w:val="00FB45F1"/>
    <w:rsid w:val="00FB4A72"/>
    <w:rsid w:val="00FB54E8"/>
    <w:rsid w:val="00FB7054"/>
    <w:rsid w:val="00FB7B8A"/>
    <w:rsid w:val="00FC17B7"/>
    <w:rsid w:val="00FC1AE2"/>
    <w:rsid w:val="00FC2CB7"/>
    <w:rsid w:val="00FC2D43"/>
    <w:rsid w:val="00FC4090"/>
    <w:rsid w:val="00FC55B4"/>
    <w:rsid w:val="00FD00E6"/>
    <w:rsid w:val="00FD09A1"/>
    <w:rsid w:val="00FD2A7C"/>
    <w:rsid w:val="00FD3070"/>
    <w:rsid w:val="00FD59EB"/>
    <w:rsid w:val="00FD7299"/>
    <w:rsid w:val="00FE1FBE"/>
    <w:rsid w:val="00FE3901"/>
    <w:rsid w:val="00FE39D3"/>
    <w:rsid w:val="00FE4BCE"/>
    <w:rsid w:val="00FE54AE"/>
    <w:rsid w:val="00FE576A"/>
    <w:rsid w:val="00FE7E79"/>
    <w:rsid w:val="00FF26A6"/>
    <w:rsid w:val="00FF3E7D"/>
    <w:rsid w:val="00FF5B99"/>
    <w:rsid w:val="00FF730C"/>
    <w:rsid w:val="00FF73F4"/>
    <w:rsid w:val="00FF7CE4"/>
    <w:rsid w:val="00FF7E39"/>
    <w:rsid w:val="010F7FF3"/>
    <w:rsid w:val="012A2737"/>
    <w:rsid w:val="01453A14"/>
    <w:rsid w:val="01541EA9"/>
    <w:rsid w:val="015B3238"/>
    <w:rsid w:val="016025FC"/>
    <w:rsid w:val="016F3CF4"/>
    <w:rsid w:val="018425E2"/>
    <w:rsid w:val="01BB7833"/>
    <w:rsid w:val="01C20BC1"/>
    <w:rsid w:val="01EA0118"/>
    <w:rsid w:val="01FB0577"/>
    <w:rsid w:val="020B0419"/>
    <w:rsid w:val="0224187C"/>
    <w:rsid w:val="022950E4"/>
    <w:rsid w:val="023D46EC"/>
    <w:rsid w:val="024C0DD3"/>
    <w:rsid w:val="0250441F"/>
    <w:rsid w:val="02770620"/>
    <w:rsid w:val="027D0F8C"/>
    <w:rsid w:val="02881E0B"/>
    <w:rsid w:val="028E3199"/>
    <w:rsid w:val="029A7D90"/>
    <w:rsid w:val="02A46519"/>
    <w:rsid w:val="02B524D4"/>
    <w:rsid w:val="02B726F0"/>
    <w:rsid w:val="02C32FE5"/>
    <w:rsid w:val="02C44BAF"/>
    <w:rsid w:val="02C44E0D"/>
    <w:rsid w:val="02DD1A2B"/>
    <w:rsid w:val="030376E3"/>
    <w:rsid w:val="031762EC"/>
    <w:rsid w:val="03280EF8"/>
    <w:rsid w:val="03435D32"/>
    <w:rsid w:val="03577A2F"/>
    <w:rsid w:val="036A7762"/>
    <w:rsid w:val="0388408C"/>
    <w:rsid w:val="039B5B6E"/>
    <w:rsid w:val="03B35954"/>
    <w:rsid w:val="03B7227C"/>
    <w:rsid w:val="03BB1D6C"/>
    <w:rsid w:val="03C10929"/>
    <w:rsid w:val="03C70711"/>
    <w:rsid w:val="03C84489"/>
    <w:rsid w:val="03F62DA4"/>
    <w:rsid w:val="03FB485E"/>
    <w:rsid w:val="040C414F"/>
    <w:rsid w:val="041476CE"/>
    <w:rsid w:val="042F4508"/>
    <w:rsid w:val="04310280"/>
    <w:rsid w:val="0431202E"/>
    <w:rsid w:val="044E2BE0"/>
    <w:rsid w:val="04770389"/>
    <w:rsid w:val="048B5BE2"/>
    <w:rsid w:val="049A4077"/>
    <w:rsid w:val="049F168E"/>
    <w:rsid w:val="04A62A1C"/>
    <w:rsid w:val="04AB0032"/>
    <w:rsid w:val="04B862AB"/>
    <w:rsid w:val="04C335CE"/>
    <w:rsid w:val="04C410F4"/>
    <w:rsid w:val="04CE1F73"/>
    <w:rsid w:val="04DD5D12"/>
    <w:rsid w:val="04E2157A"/>
    <w:rsid w:val="04E452F2"/>
    <w:rsid w:val="050140F6"/>
    <w:rsid w:val="05036652"/>
    <w:rsid w:val="052B4CCF"/>
    <w:rsid w:val="052D0A47"/>
    <w:rsid w:val="054D2E98"/>
    <w:rsid w:val="05500BDA"/>
    <w:rsid w:val="055A55B4"/>
    <w:rsid w:val="055C757F"/>
    <w:rsid w:val="05616943"/>
    <w:rsid w:val="05654685"/>
    <w:rsid w:val="058014BF"/>
    <w:rsid w:val="0591547A"/>
    <w:rsid w:val="05B11678"/>
    <w:rsid w:val="05BB42A5"/>
    <w:rsid w:val="05BE5B43"/>
    <w:rsid w:val="05C07B0D"/>
    <w:rsid w:val="060317A8"/>
    <w:rsid w:val="06171578"/>
    <w:rsid w:val="061E22CB"/>
    <w:rsid w:val="06367DD0"/>
    <w:rsid w:val="064047AA"/>
    <w:rsid w:val="064A73D7"/>
    <w:rsid w:val="064F2C3F"/>
    <w:rsid w:val="0661309E"/>
    <w:rsid w:val="066606B5"/>
    <w:rsid w:val="06682ADC"/>
    <w:rsid w:val="066E57BB"/>
    <w:rsid w:val="067032E2"/>
    <w:rsid w:val="06862B05"/>
    <w:rsid w:val="06904722"/>
    <w:rsid w:val="0696261C"/>
    <w:rsid w:val="069F47E1"/>
    <w:rsid w:val="06AB60C8"/>
    <w:rsid w:val="06B331CE"/>
    <w:rsid w:val="06BF1B73"/>
    <w:rsid w:val="06E55C44"/>
    <w:rsid w:val="06FD269B"/>
    <w:rsid w:val="07034156"/>
    <w:rsid w:val="071A324D"/>
    <w:rsid w:val="071D689A"/>
    <w:rsid w:val="072622D1"/>
    <w:rsid w:val="074D19CF"/>
    <w:rsid w:val="07506C6F"/>
    <w:rsid w:val="075C73C2"/>
    <w:rsid w:val="077010BF"/>
    <w:rsid w:val="07797F74"/>
    <w:rsid w:val="0789638A"/>
    <w:rsid w:val="079E4C52"/>
    <w:rsid w:val="07B611C8"/>
    <w:rsid w:val="07C05BA3"/>
    <w:rsid w:val="07DE24CD"/>
    <w:rsid w:val="07E13D6B"/>
    <w:rsid w:val="07FC0BA5"/>
    <w:rsid w:val="07FC54FA"/>
    <w:rsid w:val="08090A09"/>
    <w:rsid w:val="081B102B"/>
    <w:rsid w:val="0837598F"/>
    <w:rsid w:val="083E4D1A"/>
    <w:rsid w:val="0843615B"/>
    <w:rsid w:val="084E1401"/>
    <w:rsid w:val="0854453D"/>
    <w:rsid w:val="08687FE8"/>
    <w:rsid w:val="087846CF"/>
    <w:rsid w:val="08786F0D"/>
    <w:rsid w:val="08872B64"/>
    <w:rsid w:val="089E4AB6"/>
    <w:rsid w:val="08A059D4"/>
    <w:rsid w:val="08C23B9D"/>
    <w:rsid w:val="08D833C0"/>
    <w:rsid w:val="08E065F0"/>
    <w:rsid w:val="09016473"/>
    <w:rsid w:val="090221EB"/>
    <w:rsid w:val="090917CB"/>
    <w:rsid w:val="09095327"/>
    <w:rsid w:val="09151F1E"/>
    <w:rsid w:val="091A7535"/>
    <w:rsid w:val="091B157F"/>
    <w:rsid w:val="091F0FEF"/>
    <w:rsid w:val="092263E9"/>
    <w:rsid w:val="093F01BD"/>
    <w:rsid w:val="0955056D"/>
    <w:rsid w:val="095F3199"/>
    <w:rsid w:val="096B4234"/>
    <w:rsid w:val="097A7FD3"/>
    <w:rsid w:val="097C3D4B"/>
    <w:rsid w:val="09811362"/>
    <w:rsid w:val="098470A4"/>
    <w:rsid w:val="09B96D4E"/>
    <w:rsid w:val="09BE6112"/>
    <w:rsid w:val="09E57B43"/>
    <w:rsid w:val="09F064E7"/>
    <w:rsid w:val="09F9539C"/>
    <w:rsid w:val="0A20501F"/>
    <w:rsid w:val="0A283ED3"/>
    <w:rsid w:val="0A474359"/>
    <w:rsid w:val="0A4D56E8"/>
    <w:rsid w:val="0A682522"/>
    <w:rsid w:val="0A6C0264"/>
    <w:rsid w:val="0A7D7D7B"/>
    <w:rsid w:val="0AB67731"/>
    <w:rsid w:val="0ABB6AF5"/>
    <w:rsid w:val="0AC34D93"/>
    <w:rsid w:val="0AD00E75"/>
    <w:rsid w:val="0ADA341F"/>
    <w:rsid w:val="0ADD6A6C"/>
    <w:rsid w:val="0AE41BA8"/>
    <w:rsid w:val="0AE55DA9"/>
    <w:rsid w:val="0B095AB3"/>
    <w:rsid w:val="0B1516E6"/>
    <w:rsid w:val="0B235158"/>
    <w:rsid w:val="0B3643CE"/>
    <w:rsid w:val="0B36617C"/>
    <w:rsid w:val="0B3C7C36"/>
    <w:rsid w:val="0B4D3BF1"/>
    <w:rsid w:val="0B536D2E"/>
    <w:rsid w:val="0B574A70"/>
    <w:rsid w:val="0B7D3DAB"/>
    <w:rsid w:val="0B9F6417"/>
    <w:rsid w:val="0BA01C71"/>
    <w:rsid w:val="0BBC2B25"/>
    <w:rsid w:val="0BCB0FBA"/>
    <w:rsid w:val="0BEF6486"/>
    <w:rsid w:val="0BEF6A57"/>
    <w:rsid w:val="0BF73B5D"/>
    <w:rsid w:val="0C006EB6"/>
    <w:rsid w:val="0C042324"/>
    <w:rsid w:val="0C137516"/>
    <w:rsid w:val="0C2A7A8F"/>
    <w:rsid w:val="0C364685"/>
    <w:rsid w:val="0C4F051C"/>
    <w:rsid w:val="0C4F1BEB"/>
    <w:rsid w:val="0C5965C6"/>
    <w:rsid w:val="0C676F35"/>
    <w:rsid w:val="0C6A3782"/>
    <w:rsid w:val="0C6C2B4D"/>
    <w:rsid w:val="0C714736"/>
    <w:rsid w:val="0C9A3091"/>
    <w:rsid w:val="0C9F66CF"/>
    <w:rsid w:val="0CB63495"/>
    <w:rsid w:val="0CB657C6"/>
    <w:rsid w:val="0CC53C5B"/>
    <w:rsid w:val="0CCD3E9E"/>
    <w:rsid w:val="0CEC11E8"/>
    <w:rsid w:val="0CEE4F60"/>
    <w:rsid w:val="0D336E17"/>
    <w:rsid w:val="0D386C07"/>
    <w:rsid w:val="0D496AB3"/>
    <w:rsid w:val="0D58062B"/>
    <w:rsid w:val="0D5D5C42"/>
    <w:rsid w:val="0D6671EC"/>
    <w:rsid w:val="0D7731A8"/>
    <w:rsid w:val="0D883C4C"/>
    <w:rsid w:val="0D957AD2"/>
    <w:rsid w:val="0D9A0C44"/>
    <w:rsid w:val="0DA43871"/>
    <w:rsid w:val="0DA815B3"/>
    <w:rsid w:val="0DAD6BC9"/>
    <w:rsid w:val="0DC161D1"/>
    <w:rsid w:val="0DF04D08"/>
    <w:rsid w:val="0DF447F8"/>
    <w:rsid w:val="0DFE0FE4"/>
    <w:rsid w:val="0E0A5DCA"/>
    <w:rsid w:val="0E0F1632"/>
    <w:rsid w:val="0E1E1875"/>
    <w:rsid w:val="0E252C04"/>
    <w:rsid w:val="0E26072A"/>
    <w:rsid w:val="0E625C06"/>
    <w:rsid w:val="0E664FCA"/>
    <w:rsid w:val="0E6B25E0"/>
    <w:rsid w:val="0E6D6359"/>
    <w:rsid w:val="0E7B4A89"/>
    <w:rsid w:val="0E8A0CB9"/>
    <w:rsid w:val="0E912047"/>
    <w:rsid w:val="0EC20452"/>
    <w:rsid w:val="0ED40186"/>
    <w:rsid w:val="0ED71A24"/>
    <w:rsid w:val="0EDB1514"/>
    <w:rsid w:val="0EF07145"/>
    <w:rsid w:val="0EFE3455"/>
    <w:rsid w:val="0F026AA1"/>
    <w:rsid w:val="0F113188"/>
    <w:rsid w:val="0F3155D8"/>
    <w:rsid w:val="0F452E31"/>
    <w:rsid w:val="0F5B2655"/>
    <w:rsid w:val="0F683A9D"/>
    <w:rsid w:val="0F7B4AA5"/>
    <w:rsid w:val="0F7B6853"/>
    <w:rsid w:val="0F841BAC"/>
    <w:rsid w:val="0F84395A"/>
    <w:rsid w:val="0F985657"/>
    <w:rsid w:val="0FBA737B"/>
    <w:rsid w:val="0FCD5301"/>
    <w:rsid w:val="0FD909A9"/>
    <w:rsid w:val="0FDA17CC"/>
    <w:rsid w:val="0FEE5277"/>
    <w:rsid w:val="0FF22FB9"/>
    <w:rsid w:val="0FF34F08"/>
    <w:rsid w:val="100131FC"/>
    <w:rsid w:val="100B407B"/>
    <w:rsid w:val="10345380"/>
    <w:rsid w:val="10376C1E"/>
    <w:rsid w:val="103C2486"/>
    <w:rsid w:val="103F5AD3"/>
    <w:rsid w:val="10466E61"/>
    <w:rsid w:val="10857989"/>
    <w:rsid w:val="10863702"/>
    <w:rsid w:val="10940212"/>
    <w:rsid w:val="1097590F"/>
    <w:rsid w:val="10A65B52"/>
    <w:rsid w:val="10C1473A"/>
    <w:rsid w:val="10DB3A4D"/>
    <w:rsid w:val="10DF6E84"/>
    <w:rsid w:val="10E5667A"/>
    <w:rsid w:val="10E723F2"/>
    <w:rsid w:val="10F16DCD"/>
    <w:rsid w:val="1134315E"/>
    <w:rsid w:val="113B273E"/>
    <w:rsid w:val="11496C09"/>
    <w:rsid w:val="117B2B3A"/>
    <w:rsid w:val="118440E5"/>
    <w:rsid w:val="11877731"/>
    <w:rsid w:val="11C24C0D"/>
    <w:rsid w:val="11D566EF"/>
    <w:rsid w:val="11EB4164"/>
    <w:rsid w:val="11EE155E"/>
    <w:rsid w:val="12152F8F"/>
    <w:rsid w:val="121D1E44"/>
    <w:rsid w:val="121F0576"/>
    <w:rsid w:val="1222745A"/>
    <w:rsid w:val="122D02D9"/>
    <w:rsid w:val="1251412D"/>
    <w:rsid w:val="125F420A"/>
    <w:rsid w:val="126A32DB"/>
    <w:rsid w:val="1283614B"/>
    <w:rsid w:val="12C16C73"/>
    <w:rsid w:val="130C4392"/>
    <w:rsid w:val="133B2942"/>
    <w:rsid w:val="133D279D"/>
    <w:rsid w:val="135740C5"/>
    <w:rsid w:val="137D703E"/>
    <w:rsid w:val="13873A19"/>
    <w:rsid w:val="13A20852"/>
    <w:rsid w:val="13B3480E"/>
    <w:rsid w:val="13BA5B9C"/>
    <w:rsid w:val="13C14068"/>
    <w:rsid w:val="13F07810"/>
    <w:rsid w:val="140B464A"/>
    <w:rsid w:val="143C64C2"/>
    <w:rsid w:val="144F729E"/>
    <w:rsid w:val="146E4BD8"/>
    <w:rsid w:val="146E6986"/>
    <w:rsid w:val="14773A8D"/>
    <w:rsid w:val="147E4E1C"/>
    <w:rsid w:val="14A72E46"/>
    <w:rsid w:val="14D62EA9"/>
    <w:rsid w:val="14EB1C26"/>
    <w:rsid w:val="14FB646C"/>
    <w:rsid w:val="15023C9F"/>
    <w:rsid w:val="15037AC7"/>
    <w:rsid w:val="15051099"/>
    <w:rsid w:val="15115C90"/>
    <w:rsid w:val="151439D2"/>
    <w:rsid w:val="15233C15"/>
    <w:rsid w:val="152359C3"/>
    <w:rsid w:val="152534E9"/>
    <w:rsid w:val="152F71BE"/>
    <w:rsid w:val="15343684"/>
    <w:rsid w:val="153E45AB"/>
    <w:rsid w:val="15451DDD"/>
    <w:rsid w:val="15453B8B"/>
    <w:rsid w:val="155E4C4D"/>
    <w:rsid w:val="15680959"/>
    <w:rsid w:val="157E0E4B"/>
    <w:rsid w:val="15821566"/>
    <w:rsid w:val="15836462"/>
    <w:rsid w:val="158521DA"/>
    <w:rsid w:val="15915022"/>
    <w:rsid w:val="15934BEB"/>
    <w:rsid w:val="159A3ED7"/>
    <w:rsid w:val="15A9411A"/>
    <w:rsid w:val="15AE1730"/>
    <w:rsid w:val="15C727F2"/>
    <w:rsid w:val="15D8055B"/>
    <w:rsid w:val="15E16F56"/>
    <w:rsid w:val="160E0D87"/>
    <w:rsid w:val="16157A01"/>
    <w:rsid w:val="162A607A"/>
    <w:rsid w:val="162D4D4B"/>
    <w:rsid w:val="1638724C"/>
    <w:rsid w:val="165B2F3A"/>
    <w:rsid w:val="16610551"/>
    <w:rsid w:val="166242C9"/>
    <w:rsid w:val="166B7621"/>
    <w:rsid w:val="166D339A"/>
    <w:rsid w:val="16726C02"/>
    <w:rsid w:val="169F0FFC"/>
    <w:rsid w:val="169F551D"/>
    <w:rsid w:val="16A448E1"/>
    <w:rsid w:val="16A91EF8"/>
    <w:rsid w:val="16B234A2"/>
    <w:rsid w:val="16C3120C"/>
    <w:rsid w:val="16E3540A"/>
    <w:rsid w:val="16F47617"/>
    <w:rsid w:val="16F70EB5"/>
    <w:rsid w:val="16FF7D6A"/>
    <w:rsid w:val="17084E70"/>
    <w:rsid w:val="170A508C"/>
    <w:rsid w:val="171B2DF6"/>
    <w:rsid w:val="172A4DE7"/>
    <w:rsid w:val="173253C1"/>
    <w:rsid w:val="173739A8"/>
    <w:rsid w:val="173E4D36"/>
    <w:rsid w:val="174A36DB"/>
    <w:rsid w:val="174F484D"/>
    <w:rsid w:val="17716EB9"/>
    <w:rsid w:val="177B5642"/>
    <w:rsid w:val="177C760C"/>
    <w:rsid w:val="17822E75"/>
    <w:rsid w:val="17832749"/>
    <w:rsid w:val="178C3CF3"/>
    <w:rsid w:val="17951ABA"/>
    <w:rsid w:val="1796247C"/>
    <w:rsid w:val="17AA23CB"/>
    <w:rsid w:val="17AD5A18"/>
    <w:rsid w:val="17B9616B"/>
    <w:rsid w:val="17E458DD"/>
    <w:rsid w:val="17EF6030"/>
    <w:rsid w:val="1804388A"/>
    <w:rsid w:val="18115FA7"/>
    <w:rsid w:val="182F467F"/>
    <w:rsid w:val="18383533"/>
    <w:rsid w:val="184620F4"/>
    <w:rsid w:val="18483AC5"/>
    <w:rsid w:val="185A16FC"/>
    <w:rsid w:val="188B5D59"/>
    <w:rsid w:val="18910F4F"/>
    <w:rsid w:val="189B3AC2"/>
    <w:rsid w:val="18BF1EA7"/>
    <w:rsid w:val="18C1740C"/>
    <w:rsid w:val="18C54B75"/>
    <w:rsid w:val="18CB084B"/>
    <w:rsid w:val="18CD6371"/>
    <w:rsid w:val="18CE6C54"/>
    <w:rsid w:val="18ED2570"/>
    <w:rsid w:val="1927569A"/>
    <w:rsid w:val="192D5062"/>
    <w:rsid w:val="192D6E10"/>
    <w:rsid w:val="19315127"/>
    <w:rsid w:val="193A32DB"/>
    <w:rsid w:val="194B7296"/>
    <w:rsid w:val="19630A84"/>
    <w:rsid w:val="198527A8"/>
    <w:rsid w:val="19856C4C"/>
    <w:rsid w:val="198A4263"/>
    <w:rsid w:val="198A78DD"/>
    <w:rsid w:val="19D61256"/>
    <w:rsid w:val="19E44606"/>
    <w:rsid w:val="1A134258"/>
    <w:rsid w:val="1A136F45"/>
    <w:rsid w:val="1A3366A8"/>
    <w:rsid w:val="1A4166AB"/>
    <w:rsid w:val="1A613215"/>
    <w:rsid w:val="1A736AA5"/>
    <w:rsid w:val="1A750A6F"/>
    <w:rsid w:val="1ABC48F0"/>
    <w:rsid w:val="1AC90DBB"/>
    <w:rsid w:val="1AD87250"/>
    <w:rsid w:val="1AE57205"/>
    <w:rsid w:val="1B0167A6"/>
    <w:rsid w:val="1B0F3479"/>
    <w:rsid w:val="1B316012"/>
    <w:rsid w:val="1B3B1CB8"/>
    <w:rsid w:val="1B4D379A"/>
    <w:rsid w:val="1B662AAD"/>
    <w:rsid w:val="1B96440A"/>
    <w:rsid w:val="1B965141"/>
    <w:rsid w:val="1B9E25CA"/>
    <w:rsid w:val="1BA809D0"/>
    <w:rsid w:val="1BCF0653"/>
    <w:rsid w:val="1BE51C24"/>
    <w:rsid w:val="1BF43C15"/>
    <w:rsid w:val="1BF754B3"/>
    <w:rsid w:val="1C0954E1"/>
    <w:rsid w:val="1C142509"/>
    <w:rsid w:val="1C183DA8"/>
    <w:rsid w:val="1C2C7853"/>
    <w:rsid w:val="1C3404B6"/>
    <w:rsid w:val="1C346708"/>
    <w:rsid w:val="1C5A616E"/>
    <w:rsid w:val="1C6C7C4F"/>
    <w:rsid w:val="1C7A6810"/>
    <w:rsid w:val="1C88473B"/>
    <w:rsid w:val="1C961170"/>
    <w:rsid w:val="1C9B0535"/>
    <w:rsid w:val="1CA81C4F"/>
    <w:rsid w:val="1CB27C7A"/>
    <w:rsid w:val="1CF0262F"/>
    <w:rsid w:val="1CFE11EF"/>
    <w:rsid w:val="1D0205B4"/>
    <w:rsid w:val="1D0936F0"/>
    <w:rsid w:val="1D1A76AB"/>
    <w:rsid w:val="1D1C1676"/>
    <w:rsid w:val="1D556936"/>
    <w:rsid w:val="1D594AB2"/>
    <w:rsid w:val="1D5D57EA"/>
    <w:rsid w:val="1D653086"/>
    <w:rsid w:val="1D886D0B"/>
    <w:rsid w:val="1DB9030D"/>
    <w:rsid w:val="1DBD1371"/>
    <w:rsid w:val="1DE877AA"/>
    <w:rsid w:val="1DFD108C"/>
    <w:rsid w:val="1E081BFA"/>
    <w:rsid w:val="1E1A5D2C"/>
    <w:rsid w:val="1E1B36DB"/>
    <w:rsid w:val="1E3E386E"/>
    <w:rsid w:val="1E482DAB"/>
    <w:rsid w:val="1E4F5A7B"/>
    <w:rsid w:val="1E5D0198"/>
    <w:rsid w:val="1E74728F"/>
    <w:rsid w:val="1E7554E1"/>
    <w:rsid w:val="1E780B2E"/>
    <w:rsid w:val="1E8F5E77"/>
    <w:rsid w:val="1EBC3110"/>
    <w:rsid w:val="1EBF49AE"/>
    <w:rsid w:val="1ED41ADC"/>
    <w:rsid w:val="1F057054"/>
    <w:rsid w:val="1F1F369F"/>
    <w:rsid w:val="1F2772D5"/>
    <w:rsid w:val="1F282554"/>
    <w:rsid w:val="1F30765A"/>
    <w:rsid w:val="1F325180"/>
    <w:rsid w:val="1F5C0BC2"/>
    <w:rsid w:val="1F6317DE"/>
    <w:rsid w:val="1F6E3CDF"/>
    <w:rsid w:val="1F775289"/>
    <w:rsid w:val="1F7C63FB"/>
    <w:rsid w:val="1F8359DC"/>
    <w:rsid w:val="1F9562BF"/>
    <w:rsid w:val="1F9E45C4"/>
    <w:rsid w:val="1FA12306"/>
    <w:rsid w:val="1FA6791C"/>
    <w:rsid w:val="1FAF4A23"/>
    <w:rsid w:val="1FC87893"/>
    <w:rsid w:val="1FD51B58"/>
    <w:rsid w:val="1FE83A91"/>
    <w:rsid w:val="2000527E"/>
    <w:rsid w:val="200220CA"/>
    <w:rsid w:val="201C373B"/>
    <w:rsid w:val="20210D51"/>
    <w:rsid w:val="20270A5D"/>
    <w:rsid w:val="206C6470"/>
    <w:rsid w:val="20847C5E"/>
    <w:rsid w:val="209A5487"/>
    <w:rsid w:val="20A025BE"/>
    <w:rsid w:val="20B147CB"/>
    <w:rsid w:val="20E26732"/>
    <w:rsid w:val="20EE50D7"/>
    <w:rsid w:val="20FA3A7C"/>
    <w:rsid w:val="20FC6F74"/>
    <w:rsid w:val="211C7E96"/>
    <w:rsid w:val="21303941"/>
    <w:rsid w:val="215C64E4"/>
    <w:rsid w:val="21703D3E"/>
    <w:rsid w:val="217557F8"/>
    <w:rsid w:val="218D51B0"/>
    <w:rsid w:val="21A63C04"/>
    <w:rsid w:val="21AF0D0A"/>
    <w:rsid w:val="21CB18BC"/>
    <w:rsid w:val="21DD7A5D"/>
    <w:rsid w:val="21DE514B"/>
    <w:rsid w:val="21E6527C"/>
    <w:rsid w:val="21EB5ABA"/>
    <w:rsid w:val="21F56735"/>
    <w:rsid w:val="22034BB2"/>
    <w:rsid w:val="22055993"/>
    <w:rsid w:val="22121299"/>
    <w:rsid w:val="222608A0"/>
    <w:rsid w:val="223E3E3C"/>
    <w:rsid w:val="22421B7E"/>
    <w:rsid w:val="224C6559"/>
    <w:rsid w:val="22717D6E"/>
    <w:rsid w:val="22821F7B"/>
    <w:rsid w:val="229D5007"/>
    <w:rsid w:val="22B81E40"/>
    <w:rsid w:val="22CA56D0"/>
    <w:rsid w:val="22D87DED"/>
    <w:rsid w:val="22D93B65"/>
    <w:rsid w:val="22EE7610"/>
    <w:rsid w:val="231B5E8C"/>
    <w:rsid w:val="23333275"/>
    <w:rsid w:val="234C2589"/>
    <w:rsid w:val="235C6C70"/>
    <w:rsid w:val="23641680"/>
    <w:rsid w:val="23700025"/>
    <w:rsid w:val="23825FAA"/>
    <w:rsid w:val="238E0DF3"/>
    <w:rsid w:val="23931F66"/>
    <w:rsid w:val="239566FB"/>
    <w:rsid w:val="23A91789"/>
    <w:rsid w:val="23AB5501"/>
    <w:rsid w:val="23AE4FF1"/>
    <w:rsid w:val="23E9602A"/>
    <w:rsid w:val="23F24EDE"/>
    <w:rsid w:val="24207BC1"/>
    <w:rsid w:val="2429207A"/>
    <w:rsid w:val="243B3169"/>
    <w:rsid w:val="245060A9"/>
    <w:rsid w:val="24594F5D"/>
    <w:rsid w:val="245E4322"/>
    <w:rsid w:val="245F769E"/>
    <w:rsid w:val="246062EC"/>
    <w:rsid w:val="246E73A9"/>
    <w:rsid w:val="2473285D"/>
    <w:rsid w:val="247B3126"/>
    <w:rsid w:val="249B37C8"/>
    <w:rsid w:val="24B10457"/>
    <w:rsid w:val="24D32F62"/>
    <w:rsid w:val="24D740D4"/>
    <w:rsid w:val="24E605D6"/>
    <w:rsid w:val="24F37160"/>
    <w:rsid w:val="24FD1D8D"/>
    <w:rsid w:val="25041744"/>
    <w:rsid w:val="250F386E"/>
    <w:rsid w:val="25113A8A"/>
    <w:rsid w:val="251946ED"/>
    <w:rsid w:val="251B0700"/>
    <w:rsid w:val="252235A1"/>
    <w:rsid w:val="253350CF"/>
    <w:rsid w:val="2536529E"/>
    <w:rsid w:val="253908EB"/>
    <w:rsid w:val="25396B3D"/>
    <w:rsid w:val="254B6F9C"/>
    <w:rsid w:val="25585215"/>
    <w:rsid w:val="25733DFD"/>
    <w:rsid w:val="259B3353"/>
    <w:rsid w:val="25A4045A"/>
    <w:rsid w:val="25B12B77"/>
    <w:rsid w:val="25EF3DCB"/>
    <w:rsid w:val="25F25669"/>
    <w:rsid w:val="25FF10B2"/>
    <w:rsid w:val="26040EF9"/>
    <w:rsid w:val="26284BE7"/>
    <w:rsid w:val="262B0B7B"/>
    <w:rsid w:val="262D044F"/>
    <w:rsid w:val="262E2B6D"/>
    <w:rsid w:val="26301CEE"/>
    <w:rsid w:val="263F0183"/>
    <w:rsid w:val="26487037"/>
    <w:rsid w:val="26571970"/>
    <w:rsid w:val="26756609"/>
    <w:rsid w:val="26906C30"/>
    <w:rsid w:val="26A60202"/>
    <w:rsid w:val="26B4579E"/>
    <w:rsid w:val="26B50445"/>
    <w:rsid w:val="26C412B6"/>
    <w:rsid w:val="26CB72DB"/>
    <w:rsid w:val="26CF1507"/>
    <w:rsid w:val="26E33204"/>
    <w:rsid w:val="26FB67A0"/>
    <w:rsid w:val="2702368A"/>
    <w:rsid w:val="27135897"/>
    <w:rsid w:val="27174C5C"/>
    <w:rsid w:val="272950BB"/>
    <w:rsid w:val="273870AC"/>
    <w:rsid w:val="27391076"/>
    <w:rsid w:val="273B094A"/>
    <w:rsid w:val="27561C28"/>
    <w:rsid w:val="275A34C6"/>
    <w:rsid w:val="27604DA2"/>
    <w:rsid w:val="277F4CDB"/>
    <w:rsid w:val="2786250D"/>
    <w:rsid w:val="278A18D2"/>
    <w:rsid w:val="279F35CF"/>
    <w:rsid w:val="27B34984"/>
    <w:rsid w:val="27B43F14"/>
    <w:rsid w:val="27BA089A"/>
    <w:rsid w:val="27BB7CDD"/>
    <w:rsid w:val="27CB43C4"/>
    <w:rsid w:val="27CD01CE"/>
    <w:rsid w:val="27CE7A10"/>
    <w:rsid w:val="27D8088F"/>
    <w:rsid w:val="27E014F2"/>
    <w:rsid w:val="27E47234"/>
    <w:rsid w:val="27E56B08"/>
    <w:rsid w:val="27EE1E60"/>
    <w:rsid w:val="27F07987"/>
    <w:rsid w:val="27F21951"/>
    <w:rsid w:val="27FA0A8E"/>
    <w:rsid w:val="28090A48"/>
    <w:rsid w:val="280D0539"/>
    <w:rsid w:val="281178FD"/>
    <w:rsid w:val="2822217A"/>
    <w:rsid w:val="284877C3"/>
    <w:rsid w:val="285048C9"/>
    <w:rsid w:val="28616AD6"/>
    <w:rsid w:val="286B1703"/>
    <w:rsid w:val="288D78CB"/>
    <w:rsid w:val="28911EA1"/>
    <w:rsid w:val="28931643"/>
    <w:rsid w:val="28A3076F"/>
    <w:rsid w:val="28A420D1"/>
    <w:rsid w:val="28B704A4"/>
    <w:rsid w:val="28BA7F95"/>
    <w:rsid w:val="28CA122C"/>
    <w:rsid w:val="28CC03F4"/>
    <w:rsid w:val="28F2772E"/>
    <w:rsid w:val="28F811E9"/>
    <w:rsid w:val="29115E06"/>
    <w:rsid w:val="291B1D32"/>
    <w:rsid w:val="2927387C"/>
    <w:rsid w:val="292C2C40"/>
    <w:rsid w:val="292C4006"/>
    <w:rsid w:val="29363ABF"/>
    <w:rsid w:val="293B2E83"/>
    <w:rsid w:val="293D6BFB"/>
    <w:rsid w:val="2944442E"/>
    <w:rsid w:val="294B567B"/>
    <w:rsid w:val="294E705B"/>
    <w:rsid w:val="295B1778"/>
    <w:rsid w:val="297665B1"/>
    <w:rsid w:val="297A7E50"/>
    <w:rsid w:val="297B5976"/>
    <w:rsid w:val="29826D04"/>
    <w:rsid w:val="29976D89"/>
    <w:rsid w:val="29D07A70"/>
    <w:rsid w:val="29DA6B40"/>
    <w:rsid w:val="29EE6148"/>
    <w:rsid w:val="29F00112"/>
    <w:rsid w:val="29F51284"/>
    <w:rsid w:val="29FA2D3E"/>
    <w:rsid w:val="2A052260"/>
    <w:rsid w:val="2A0D0CC4"/>
    <w:rsid w:val="2A13795C"/>
    <w:rsid w:val="2A293624"/>
    <w:rsid w:val="2A36189D"/>
    <w:rsid w:val="2A3A138D"/>
    <w:rsid w:val="2A3C6EB3"/>
    <w:rsid w:val="2A3E70CF"/>
    <w:rsid w:val="2A443FBA"/>
    <w:rsid w:val="2A5E32CD"/>
    <w:rsid w:val="2A5E6ABF"/>
    <w:rsid w:val="2A630AE1"/>
    <w:rsid w:val="2A6D1762"/>
    <w:rsid w:val="2A7C7BF7"/>
    <w:rsid w:val="2A7E3970"/>
    <w:rsid w:val="2A8E3487"/>
    <w:rsid w:val="2AA84549"/>
    <w:rsid w:val="2AAA72F5"/>
    <w:rsid w:val="2AC1560A"/>
    <w:rsid w:val="2AD90BA6"/>
    <w:rsid w:val="2ADE440E"/>
    <w:rsid w:val="2ADF3F76"/>
    <w:rsid w:val="2AE632C3"/>
    <w:rsid w:val="2AFE685E"/>
    <w:rsid w:val="2B065713"/>
    <w:rsid w:val="2B1B3241"/>
    <w:rsid w:val="2B203036"/>
    <w:rsid w:val="2B3758CC"/>
    <w:rsid w:val="2B400C25"/>
    <w:rsid w:val="2B46456B"/>
    <w:rsid w:val="2B4A1AA4"/>
    <w:rsid w:val="2B7B3A0B"/>
    <w:rsid w:val="2B8275D8"/>
    <w:rsid w:val="2B97535A"/>
    <w:rsid w:val="2BC5112A"/>
    <w:rsid w:val="2BD66E93"/>
    <w:rsid w:val="2BE5357A"/>
    <w:rsid w:val="2BE55328"/>
    <w:rsid w:val="2BEE68D3"/>
    <w:rsid w:val="2BF81500"/>
    <w:rsid w:val="2BFC2575"/>
    <w:rsid w:val="2BFC5A68"/>
    <w:rsid w:val="2C097269"/>
    <w:rsid w:val="2C0C4FAB"/>
    <w:rsid w:val="2C11611D"/>
    <w:rsid w:val="2C136339"/>
    <w:rsid w:val="2C1D0F66"/>
    <w:rsid w:val="2C2051E2"/>
    <w:rsid w:val="2C210A56"/>
    <w:rsid w:val="2C2440A3"/>
    <w:rsid w:val="2C3A068B"/>
    <w:rsid w:val="2C432D96"/>
    <w:rsid w:val="2C695F59"/>
    <w:rsid w:val="2C7A5B1E"/>
    <w:rsid w:val="2C90798A"/>
    <w:rsid w:val="2C9D15C9"/>
    <w:rsid w:val="2CAB6572"/>
    <w:rsid w:val="2CB25B52"/>
    <w:rsid w:val="2CB82A3D"/>
    <w:rsid w:val="2CBC077F"/>
    <w:rsid w:val="2CC61033"/>
    <w:rsid w:val="2CCD33C3"/>
    <w:rsid w:val="2CDC497D"/>
    <w:rsid w:val="2CE61358"/>
    <w:rsid w:val="2CEB128C"/>
    <w:rsid w:val="2CF577ED"/>
    <w:rsid w:val="2D045C82"/>
    <w:rsid w:val="2D09157D"/>
    <w:rsid w:val="2D0A46E2"/>
    <w:rsid w:val="2D0B5263"/>
    <w:rsid w:val="2D144117"/>
    <w:rsid w:val="2D3F6B77"/>
    <w:rsid w:val="2D483DC1"/>
    <w:rsid w:val="2D4D13D7"/>
    <w:rsid w:val="2D522E91"/>
    <w:rsid w:val="2D5704A8"/>
    <w:rsid w:val="2D5E1836"/>
    <w:rsid w:val="2D6D5012"/>
    <w:rsid w:val="2D7D493E"/>
    <w:rsid w:val="2D8C1F00"/>
    <w:rsid w:val="2D8F12B6"/>
    <w:rsid w:val="2D940DB4"/>
    <w:rsid w:val="2DA20E55"/>
    <w:rsid w:val="2DAF5BEE"/>
    <w:rsid w:val="2DB63420"/>
    <w:rsid w:val="2DC45B3D"/>
    <w:rsid w:val="2DCC49F2"/>
    <w:rsid w:val="2DD815E9"/>
    <w:rsid w:val="2DFD4BAB"/>
    <w:rsid w:val="2E0C3040"/>
    <w:rsid w:val="2E2C36E3"/>
    <w:rsid w:val="2E39057F"/>
    <w:rsid w:val="2E3A5DFF"/>
    <w:rsid w:val="2E4647A4"/>
    <w:rsid w:val="2E50117F"/>
    <w:rsid w:val="2E5642BC"/>
    <w:rsid w:val="2E5D7D3D"/>
    <w:rsid w:val="2E5F13C2"/>
    <w:rsid w:val="2E6609A2"/>
    <w:rsid w:val="2E8E614B"/>
    <w:rsid w:val="2E905942"/>
    <w:rsid w:val="2EA662CD"/>
    <w:rsid w:val="2EA774B6"/>
    <w:rsid w:val="2EA96AE1"/>
    <w:rsid w:val="2EB86D24"/>
    <w:rsid w:val="2EBC6814"/>
    <w:rsid w:val="2EBD258D"/>
    <w:rsid w:val="2ED2428A"/>
    <w:rsid w:val="2F0A3A24"/>
    <w:rsid w:val="2F0F2DE8"/>
    <w:rsid w:val="2F527179"/>
    <w:rsid w:val="2F560A17"/>
    <w:rsid w:val="2F7610B9"/>
    <w:rsid w:val="2F8A246F"/>
    <w:rsid w:val="2F9B467C"/>
    <w:rsid w:val="2FA06136"/>
    <w:rsid w:val="2FAF5F15"/>
    <w:rsid w:val="2FB92D54"/>
    <w:rsid w:val="2FCC187F"/>
    <w:rsid w:val="2FCD12F9"/>
    <w:rsid w:val="2FDA0CA9"/>
    <w:rsid w:val="2FDD4C94"/>
    <w:rsid w:val="2FFE2E5D"/>
    <w:rsid w:val="300D4E4E"/>
    <w:rsid w:val="30113460"/>
    <w:rsid w:val="301D1535"/>
    <w:rsid w:val="302613A0"/>
    <w:rsid w:val="30281C88"/>
    <w:rsid w:val="3034687E"/>
    <w:rsid w:val="30550CCF"/>
    <w:rsid w:val="30823A8E"/>
    <w:rsid w:val="30896BCA"/>
    <w:rsid w:val="309537C1"/>
    <w:rsid w:val="30986E0D"/>
    <w:rsid w:val="309C68FD"/>
    <w:rsid w:val="30B33C47"/>
    <w:rsid w:val="30C16364"/>
    <w:rsid w:val="30C25BF4"/>
    <w:rsid w:val="30CC4D09"/>
    <w:rsid w:val="30CC6AB7"/>
    <w:rsid w:val="30F5248B"/>
    <w:rsid w:val="31172428"/>
    <w:rsid w:val="31216E03"/>
    <w:rsid w:val="312D3296"/>
    <w:rsid w:val="31307046"/>
    <w:rsid w:val="31344D88"/>
    <w:rsid w:val="315A0567"/>
    <w:rsid w:val="31660CB9"/>
    <w:rsid w:val="317038E6"/>
    <w:rsid w:val="31725842"/>
    <w:rsid w:val="317B10D2"/>
    <w:rsid w:val="319577E3"/>
    <w:rsid w:val="319B6B33"/>
    <w:rsid w:val="31A31F0E"/>
    <w:rsid w:val="31BC4874"/>
    <w:rsid w:val="31C0661C"/>
    <w:rsid w:val="31C679AA"/>
    <w:rsid w:val="31F84007"/>
    <w:rsid w:val="320A7897"/>
    <w:rsid w:val="320E382B"/>
    <w:rsid w:val="3216623C"/>
    <w:rsid w:val="322435FC"/>
    <w:rsid w:val="323668DE"/>
    <w:rsid w:val="32544FB6"/>
    <w:rsid w:val="32690A61"/>
    <w:rsid w:val="32786EF6"/>
    <w:rsid w:val="328E671A"/>
    <w:rsid w:val="32A001FB"/>
    <w:rsid w:val="32CD572B"/>
    <w:rsid w:val="32D00AE0"/>
    <w:rsid w:val="32D14858"/>
    <w:rsid w:val="32D40537"/>
    <w:rsid w:val="32D66BD9"/>
    <w:rsid w:val="32D83E39"/>
    <w:rsid w:val="32E4458C"/>
    <w:rsid w:val="32F04CDF"/>
    <w:rsid w:val="32F6606D"/>
    <w:rsid w:val="32FD11AA"/>
    <w:rsid w:val="330D3867"/>
    <w:rsid w:val="33184235"/>
    <w:rsid w:val="332B5D17"/>
    <w:rsid w:val="333252F7"/>
    <w:rsid w:val="333C6176"/>
    <w:rsid w:val="333F3E87"/>
    <w:rsid w:val="3355548A"/>
    <w:rsid w:val="336E2F66"/>
    <w:rsid w:val="33995376"/>
    <w:rsid w:val="33A87367"/>
    <w:rsid w:val="33B27F1A"/>
    <w:rsid w:val="33BE302F"/>
    <w:rsid w:val="33CC0DB1"/>
    <w:rsid w:val="33DE547F"/>
    <w:rsid w:val="33E16D1D"/>
    <w:rsid w:val="33E365F1"/>
    <w:rsid w:val="33F508A6"/>
    <w:rsid w:val="33F763D0"/>
    <w:rsid w:val="340B78F6"/>
    <w:rsid w:val="342B1D46"/>
    <w:rsid w:val="34473024"/>
    <w:rsid w:val="34587D22"/>
    <w:rsid w:val="345C0152"/>
    <w:rsid w:val="346C4839"/>
    <w:rsid w:val="346F257B"/>
    <w:rsid w:val="348C6C89"/>
    <w:rsid w:val="34BA1A48"/>
    <w:rsid w:val="34C53F49"/>
    <w:rsid w:val="34D348B8"/>
    <w:rsid w:val="34EE34A0"/>
    <w:rsid w:val="34F34F5A"/>
    <w:rsid w:val="34FA0097"/>
    <w:rsid w:val="351D5B33"/>
    <w:rsid w:val="3535425A"/>
    <w:rsid w:val="353A66E5"/>
    <w:rsid w:val="353F1F4D"/>
    <w:rsid w:val="355359F9"/>
    <w:rsid w:val="35611207"/>
    <w:rsid w:val="35643762"/>
    <w:rsid w:val="356E7C5B"/>
    <w:rsid w:val="35800C26"/>
    <w:rsid w:val="3586192A"/>
    <w:rsid w:val="358D4A67"/>
    <w:rsid w:val="35A3428A"/>
    <w:rsid w:val="35C12962"/>
    <w:rsid w:val="35C3492C"/>
    <w:rsid w:val="35D22DC1"/>
    <w:rsid w:val="35E6686D"/>
    <w:rsid w:val="35F30A48"/>
    <w:rsid w:val="35FB2318"/>
    <w:rsid w:val="36064819"/>
    <w:rsid w:val="36070CBD"/>
    <w:rsid w:val="360D204B"/>
    <w:rsid w:val="360F36CE"/>
    <w:rsid w:val="36146F36"/>
    <w:rsid w:val="361E6007"/>
    <w:rsid w:val="36511F38"/>
    <w:rsid w:val="365657A0"/>
    <w:rsid w:val="365C6AB7"/>
    <w:rsid w:val="36681030"/>
    <w:rsid w:val="368557C7"/>
    <w:rsid w:val="368A369C"/>
    <w:rsid w:val="36942E28"/>
    <w:rsid w:val="36A302BA"/>
    <w:rsid w:val="36AE738B"/>
    <w:rsid w:val="36AF4EB1"/>
    <w:rsid w:val="36C97D20"/>
    <w:rsid w:val="36E508D2"/>
    <w:rsid w:val="36E733F2"/>
    <w:rsid w:val="36EA7C97"/>
    <w:rsid w:val="36FC6348"/>
    <w:rsid w:val="37040D59"/>
    <w:rsid w:val="372B6F91"/>
    <w:rsid w:val="373A0C1E"/>
    <w:rsid w:val="373F6235"/>
    <w:rsid w:val="37422246"/>
    <w:rsid w:val="375D490D"/>
    <w:rsid w:val="37695060"/>
    <w:rsid w:val="376A0B9F"/>
    <w:rsid w:val="37794770"/>
    <w:rsid w:val="377A650E"/>
    <w:rsid w:val="37B409D1"/>
    <w:rsid w:val="37BF7375"/>
    <w:rsid w:val="37D50947"/>
    <w:rsid w:val="37D526F5"/>
    <w:rsid w:val="37DC7F27"/>
    <w:rsid w:val="37E1334E"/>
    <w:rsid w:val="37E961A0"/>
    <w:rsid w:val="37F60FE9"/>
    <w:rsid w:val="37FC5ED4"/>
    <w:rsid w:val="3808205A"/>
    <w:rsid w:val="38206066"/>
    <w:rsid w:val="38233460"/>
    <w:rsid w:val="3825542A"/>
    <w:rsid w:val="384A29EB"/>
    <w:rsid w:val="385601AE"/>
    <w:rsid w:val="385C2E16"/>
    <w:rsid w:val="386B7A72"/>
    <w:rsid w:val="387268D8"/>
    <w:rsid w:val="388859B9"/>
    <w:rsid w:val="38910D12"/>
    <w:rsid w:val="38C60FEB"/>
    <w:rsid w:val="38D155B2"/>
    <w:rsid w:val="38EF3C8A"/>
    <w:rsid w:val="38F40C20"/>
    <w:rsid w:val="39161217"/>
    <w:rsid w:val="39187E2C"/>
    <w:rsid w:val="39236F5E"/>
    <w:rsid w:val="39335925"/>
    <w:rsid w:val="393374ED"/>
    <w:rsid w:val="39400042"/>
    <w:rsid w:val="394538AA"/>
    <w:rsid w:val="39761CB6"/>
    <w:rsid w:val="399A59A4"/>
    <w:rsid w:val="39CE1E5B"/>
    <w:rsid w:val="39DF5AAD"/>
    <w:rsid w:val="39E20014"/>
    <w:rsid w:val="3A080B60"/>
    <w:rsid w:val="3A12378C"/>
    <w:rsid w:val="3A2B6F44"/>
    <w:rsid w:val="3A403979"/>
    <w:rsid w:val="3A573895"/>
    <w:rsid w:val="3A687850"/>
    <w:rsid w:val="3A7601BF"/>
    <w:rsid w:val="3A873793"/>
    <w:rsid w:val="3A8B353F"/>
    <w:rsid w:val="3A914FF9"/>
    <w:rsid w:val="3A920693"/>
    <w:rsid w:val="3A976CA4"/>
    <w:rsid w:val="3A9A190D"/>
    <w:rsid w:val="3AAA1C17"/>
    <w:rsid w:val="3AB67EA6"/>
    <w:rsid w:val="3ABD4DD7"/>
    <w:rsid w:val="3AC21333"/>
    <w:rsid w:val="3AC56A51"/>
    <w:rsid w:val="3ACF167E"/>
    <w:rsid w:val="3AD95910"/>
    <w:rsid w:val="3AD971F0"/>
    <w:rsid w:val="3AE35129"/>
    <w:rsid w:val="3AF42A28"/>
    <w:rsid w:val="3B0F0DA1"/>
    <w:rsid w:val="3B114B77"/>
    <w:rsid w:val="3B1971B1"/>
    <w:rsid w:val="3B1A3A48"/>
    <w:rsid w:val="3B20637D"/>
    <w:rsid w:val="3B245E6D"/>
    <w:rsid w:val="3B381919"/>
    <w:rsid w:val="3B3911ED"/>
    <w:rsid w:val="3B641499"/>
    <w:rsid w:val="3B6B2EB1"/>
    <w:rsid w:val="3B714E2B"/>
    <w:rsid w:val="3B806E1C"/>
    <w:rsid w:val="3BBB7E54"/>
    <w:rsid w:val="3BC35686"/>
    <w:rsid w:val="3BC41423"/>
    <w:rsid w:val="3BC645F0"/>
    <w:rsid w:val="3C0637C5"/>
    <w:rsid w:val="3C243C4B"/>
    <w:rsid w:val="3C261DCA"/>
    <w:rsid w:val="3C784DE6"/>
    <w:rsid w:val="3C7B6498"/>
    <w:rsid w:val="3C841A7B"/>
    <w:rsid w:val="3C8446EA"/>
    <w:rsid w:val="3C8C1F1C"/>
    <w:rsid w:val="3CA4175B"/>
    <w:rsid w:val="3CAF6189"/>
    <w:rsid w:val="3CD36C2F"/>
    <w:rsid w:val="3CD411CD"/>
    <w:rsid w:val="3CED04E1"/>
    <w:rsid w:val="3D05582A"/>
    <w:rsid w:val="3D087836"/>
    <w:rsid w:val="3D3A30E3"/>
    <w:rsid w:val="3D483969"/>
    <w:rsid w:val="3D54230E"/>
    <w:rsid w:val="3D597924"/>
    <w:rsid w:val="3D6C58AA"/>
    <w:rsid w:val="3D9F17DB"/>
    <w:rsid w:val="3DA07301"/>
    <w:rsid w:val="3DAE017A"/>
    <w:rsid w:val="3DBF3C2B"/>
    <w:rsid w:val="3DE47B36"/>
    <w:rsid w:val="3DE8490B"/>
    <w:rsid w:val="3DEC0798"/>
    <w:rsid w:val="3E066D53"/>
    <w:rsid w:val="3E246184"/>
    <w:rsid w:val="3E2B7513"/>
    <w:rsid w:val="3E530DAD"/>
    <w:rsid w:val="3E55633E"/>
    <w:rsid w:val="3E6818BC"/>
    <w:rsid w:val="3E8409D1"/>
    <w:rsid w:val="3E886713"/>
    <w:rsid w:val="3E907376"/>
    <w:rsid w:val="3E974BA8"/>
    <w:rsid w:val="3EBA2645"/>
    <w:rsid w:val="3EBB1B5E"/>
    <w:rsid w:val="3EBC460F"/>
    <w:rsid w:val="3EBE0387"/>
    <w:rsid w:val="3ED454B4"/>
    <w:rsid w:val="3EE020AB"/>
    <w:rsid w:val="3EF53C17"/>
    <w:rsid w:val="3EF913BF"/>
    <w:rsid w:val="3F1D583F"/>
    <w:rsid w:val="3F2C3542"/>
    <w:rsid w:val="3F4F5483"/>
    <w:rsid w:val="3F5D194E"/>
    <w:rsid w:val="3F854A01"/>
    <w:rsid w:val="3FA532F5"/>
    <w:rsid w:val="3FCB2D5B"/>
    <w:rsid w:val="3FD17C46"/>
    <w:rsid w:val="3FDD2F54"/>
    <w:rsid w:val="3FEA0D08"/>
    <w:rsid w:val="3FF34060"/>
    <w:rsid w:val="3FF81676"/>
    <w:rsid w:val="3FFF47B3"/>
    <w:rsid w:val="40022383"/>
    <w:rsid w:val="40083B9F"/>
    <w:rsid w:val="400973E0"/>
    <w:rsid w:val="4013200C"/>
    <w:rsid w:val="401A339B"/>
    <w:rsid w:val="401F09B1"/>
    <w:rsid w:val="402E6E46"/>
    <w:rsid w:val="40925627"/>
    <w:rsid w:val="40AD06B3"/>
    <w:rsid w:val="40B530C4"/>
    <w:rsid w:val="40C357E1"/>
    <w:rsid w:val="40D95004"/>
    <w:rsid w:val="40DB78F6"/>
    <w:rsid w:val="40F24318"/>
    <w:rsid w:val="41004C87"/>
    <w:rsid w:val="41202C33"/>
    <w:rsid w:val="41260AC9"/>
    <w:rsid w:val="413D3C7B"/>
    <w:rsid w:val="415B1F16"/>
    <w:rsid w:val="41652D3C"/>
    <w:rsid w:val="416A2100"/>
    <w:rsid w:val="41742F7F"/>
    <w:rsid w:val="417B430D"/>
    <w:rsid w:val="417C1E33"/>
    <w:rsid w:val="417E07BD"/>
    <w:rsid w:val="41807B75"/>
    <w:rsid w:val="418C02C8"/>
    <w:rsid w:val="418F1B67"/>
    <w:rsid w:val="418F7805"/>
    <w:rsid w:val="41967399"/>
    <w:rsid w:val="41A53138"/>
    <w:rsid w:val="41AE46E3"/>
    <w:rsid w:val="41E023C2"/>
    <w:rsid w:val="41E2438C"/>
    <w:rsid w:val="41F15CEC"/>
    <w:rsid w:val="422F1371"/>
    <w:rsid w:val="423050F8"/>
    <w:rsid w:val="423544BC"/>
    <w:rsid w:val="423A5F76"/>
    <w:rsid w:val="4253528A"/>
    <w:rsid w:val="425B0E42"/>
    <w:rsid w:val="42764C4E"/>
    <w:rsid w:val="427B21C3"/>
    <w:rsid w:val="427C585F"/>
    <w:rsid w:val="42982C9D"/>
    <w:rsid w:val="42B86E9B"/>
    <w:rsid w:val="42BE0955"/>
    <w:rsid w:val="42DC0DDB"/>
    <w:rsid w:val="42DC36C1"/>
    <w:rsid w:val="42E83C24"/>
    <w:rsid w:val="42FF4ACA"/>
    <w:rsid w:val="432A7D99"/>
    <w:rsid w:val="436D237B"/>
    <w:rsid w:val="437A6A42"/>
    <w:rsid w:val="43853221"/>
    <w:rsid w:val="438A6A89"/>
    <w:rsid w:val="43911BC6"/>
    <w:rsid w:val="43AD630F"/>
    <w:rsid w:val="43B9111D"/>
    <w:rsid w:val="43C8533B"/>
    <w:rsid w:val="43DE3118"/>
    <w:rsid w:val="44243920"/>
    <w:rsid w:val="443D58AA"/>
    <w:rsid w:val="44476729"/>
    <w:rsid w:val="44563E2D"/>
    <w:rsid w:val="44623562"/>
    <w:rsid w:val="446E0EB3"/>
    <w:rsid w:val="447119F7"/>
    <w:rsid w:val="44894F93"/>
    <w:rsid w:val="449013BE"/>
    <w:rsid w:val="44953938"/>
    <w:rsid w:val="449556E6"/>
    <w:rsid w:val="44A91191"/>
    <w:rsid w:val="44B042CE"/>
    <w:rsid w:val="44B26298"/>
    <w:rsid w:val="44B738AE"/>
    <w:rsid w:val="44C50779"/>
    <w:rsid w:val="44C602C6"/>
    <w:rsid w:val="44DD0E3B"/>
    <w:rsid w:val="44E12B10"/>
    <w:rsid w:val="44E14213"/>
    <w:rsid w:val="44E421C9"/>
    <w:rsid w:val="44EB17AA"/>
    <w:rsid w:val="44FA25EC"/>
    <w:rsid w:val="44FC7513"/>
    <w:rsid w:val="45010FB7"/>
    <w:rsid w:val="4513485D"/>
    <w:rsid w:val="45344EFF"/>
    <w:rsid w:val="4545710C"/>
    <w:rsid w:val="45471D9C"/>
    <w:rsid w:val="454A4722"/>
    <w:rsid w:val="455235D7"/>
    <w:rsid w:val="455A06DD"/>
    <w:rsid w:val="458F65D9"/>
    <w:rsid w:val="45912351"/>
    <w:rsid w:val="459A3C5C"/>
    <w:rsid w:val="45B46040"/>
    <w:rsid w:val="45B63B66"/>
    <w:rsid w:val="45B84A42"/>
    <w:rsid w:val="45CA5863"/>
    <w:rsid w:val="45F66658"/>
    <w:rsid w:val="45FD2210"/>
    <w:rsid w:val="45FD79E7"/>
    <w:rsid w:val="45FF5423"/>
    <w:rsid w:val="46054B10"/>
    <w:rsid w:val="460F3276"/>
    <w:rsid w:val="46132D66"/>
    <w:rsid w:val="46381B2A"/>
    <w:rsid w:val="4654512D"/>
    <w:rsid w:val="465F41FD"/>
    <w:rsid w:val="4661153E"/>
    <w:rsid w:val="46641814"/>
    <w:rsid w:val="466E4440"/>
    <w:rsid w:val="4674757D"/>
    <w:rsid w:val="46AC231E"/>
    <w:rsid w:val="46BC0A08"/>
    <w:rsid w:val="46BC33FE"/>
    <w:rsid w:val="46C2478C"/>
    <w:rsid w:val="46C91677"/>
    <w:rsid w:val="46CD560B"/>
    <w:rsid w:val="46D87B0C"/>
    <w:rsid w:val="46E14C12"/>
    <w:rsid w:val="46E42955"/>
    <w:rsid w:val="46F74436"/>
    <w:rsid w:val="47022DDB"/>
    <w:rsid w:val="4703687F"/>
    <w:rsid w:val="47060B1D"/>
    <w:rsid w:val="47084895"/>
    <w:rsid w:val="470B6133"/>
    <w:rsid w:val="47187C09"/>
    <w:rsid w:val="47282841"/>
    <w:rsid w:val="47347438"/>
    <w:rsid w:val="473F5DDD"/>
    <w:rsid w:val="47431429"/>
    <w:rsid w:val="474B6530"/>
    <w:rsid w:val="476B4E24"/>
    <w:rsid w:val="476D46F8"/>
    <w:rsid w:val="4770243A"/>
    <w:rsid w:val="477405A5"/>
    <w:rsid w:val="477C2B8D"/>
    <w:rsid w:val="47A619B8"/>
    <w:rsid w:val="47C12AC5"/>
    <w:rsid w:val="47C762E2"/>
    <w:rsid w:val="47DD7752"/>
    <w:rsid w:val="47E56984"/>
    <w:rsid w:val="47F6293F"/>
    <w:rsid w:val="4800731A"/>
    <w:rsid w:val="480C3F11"/>
    <w:rsid w:val="48221986"/>
    <w:rsid w:val="48270D4B"/>
    <w:rsid w:val="482C010F"/>
    <w:rsid w:val="48396CD0"/>
    <w:rsid w:val="483B2A48"/>
    <w:rsid w:val="48677399"/>
    <w:rsid w:val="487F0B87"/>
    <w:rsid w:val="48855A71"/>
    <w:rsid w:val="488E2B78"/>
    <w:rsid w:val="48AA4D31"/>
    <w:rsid w:val="48CE11C6"/>
    <w:rsid w:val="48D12A65"/>
    <w:rsid w:val="48D52555"/>
    <w:rsid w:val="48FB5D34"/>
    <w:rsid w:val="490746D8"/>
    <w:rsid w:val="490948F4"/>
    <w:rsid w:val="490C1CEF"/>
    <w:rsid w:val="490E1F0B"/>
    <w:rsid w:val="491F7C74"/>
    <w:rsid w:val="49247038"/>
    <w:rsid w:val="492B6619"/>
    <w:rsid w:val="492D05E3"/>
    <w:rsid w:val="494A7DB3"/>
    <w:rsid w:val="49647D7D"/>
    <w:rsid w:val="496D19FB"/>
    <w:rsid w:val="497C61B2"/>
    <w:rsid w:val="498B1AD3"/>
    <w:rsid w:val="49C34AA3"/>
    <w:rsid w:val="49D96075"/>
    <w:rsid w:val="49E913D5"/>
    <w:rsid w:val="4A001853"/>
    <w:rsid w:val="4A0A0924"/>
    <w:rsid w:val="4A0B01F8"/>
    <w:rsid w:val="4A0C644A"/>
    <w:rsid w:val="4A17094B"/>
    <w:rsid w:val="4A235542"/>
    <w:rsid w:val="4A280A90"/>
    <w:rsid w:val="4A484FA8"/>
    <w:rsid w:val="4A5D6CA6"/>
    <w:rsid w:val="4A62606A"/>
    <w:rsid w:val="4A72164F"/>
    <w:rsid w:val="4A742241"/>
    <w:rsid w:val="4A82670C"/>
    <w:rsid w:val="4A8F0E29"/>
    <w:rsid w:val="4AB10DA0"/>
    <w:rsid w:val="4AC24D5B"/>
    <w:rsid w:val="4AD056CA"/>
    <w:rsid w:val="4AE253FD"/>
    <w:rsid w:val="4AE46D70"/>
    <w:rsid w:val="4AFF1B0B"/>
    <w:rsid w:val="4B090BDC"/>
    <w:rsid w:val="4B502367"/>
    <w:rsid w:val="4B570B0C"/>
    <w:rsid w:val="4B5D4A84"/>
    <w:rsid w:val="4B6525FD"/>
    <w:rsid w:val="4B7F0E9E"/>
    <w:rsid w:val="4B8D5369"/>
    <w:rsid w:val="4BAB1C93"/>
    <w:rsid w:val="4BAD1567"/>
    <w:rsid w:val="4BAE4DB3"/>
    <w:rsid w:val="4BC93EC7"/>
    <w:rsid w:val="4BCB5E91"/>
    <w:rsid w:val="4BD9235C"/>
    <w:rsid w:val="4BE64A79"/>
    <w:rsid w:val="4BEA4569"/>
    <w:rsid w:val="4BF70A34"/>
    <w:rsid w:val="4C207F8B"/>
    <w:rsid w:val="4C28759A"/>
    <w:rsid w:val="4C373527"/>
    <w:rsid w:val="4C4D57A4"/>
    <w:rsid w:val="4C583BC9"/>
    <w:rsid w:val="4C5E4F57"/>
    <w:rsid w:val="4C653BF0"/>
    <w:rsid w:val="4C6A38FC"/>
    <w:rsid w:val="4C6D519A"/>
    <w:rsid w:val="4C79769B"/>
    <w:rsid w:val="4C8F5111"/>
    <w:rsid w:val="4C912C37"/>
    <w:rsid w:val="4C9B1D07"/>
    <w:rsid w:val="4C9E6A71"/>
    <w:rsid w:val="4C9F5263"/>
    <w:rsid w:val="4CA74208"/>
    <w:rsid w:val="4CD174D7"/>
    <w:rsid w:val="4CEC4311"/>
    <w:rsid w:val="4CF44F18"/>
    <w:rsid w:val="4D043409"/>
    <w:rsid w:val="4D1D77E4"/>
    <w:rsid w:val="4D292E6F"/>
    <w:rsid w:val="4D36558C"/>
    <w:rsid w:val="4D3857A8"/>
    <w:rsid w:val="4D5819A6"/>
    <w:rsid w:val="4D6420F9"/>
    <w:rsid w:val="4D673998"/>
    <w:rsid w:val="4D782049"/>
    <w:rsid w:val="4D826A23"/>
    <w:rsid w:val="4D866514"/>
    <w:rsid w:val="4D8866A1"/>
    <w:rsid w:val="4D8F5CE2"/>
    <w:rsid w:val="4DAD3AA0"/>
    <w:rsid w:val="4DC31703"/>
    <w:rsid w:val="4DCB2915"/>
    <w:rsid w:val="4DD03C33"/>
    <w:rsid w:val="4DE80F7C"/>
    <w:rsid w:val="4DF0545E"/>
    <w:rsid w:val="4E0811B8"/>
    <w:rsid w:val="4E102281"/>
    <w:rsid w:val="4E2C705D"/>
    <w:rsid w:val="4E350587"/>
    <w:rsid w:val="4E36765B"/>
    <w:rsid w:val="4E3A1C88"/>
    <w:rsid w:val="4E5354AA"/>
    <w:rsid w:val="4E564138"/>
    <w:rsid w:val="4E5C7274"/>
    <w:rsid w:val="4E685C19"/>
    <w:rsid w:val="4E7740AE"/>
    <w:rsid w:val="4E7E368F"/>
    <w:rsid w:val="4E8011B5"/>
    <w:rsid w:val="4E8567CB"/>
    <w:rsid w:val="4E8A2033"/>
    <w:rsid w:val="4EA604F0"/>
    <w:rsid w:val="4EAC01FC"/>
    <w:rsid w:val="4EB66985"/>
    <w:rsid w:val="4ECA68D4"/>
    <w:rsid w:val="4ECE0172"/>
    <w:rsid w:val="4EE40521"/>
    <w:rsid w:val="4F135B85"/>
    <w:rsid w:val="4F1A33B7"/>
    <w:rsid w:val="4F1D4C56"/>
    <w:rsid w:val="4F2064F4"/>
    <w:rsid w:val="4F2D0CF3"/>
    <w:rsid w:val="4F2D4C45"/>
    <w:rsid w:val="4F2E6E63"/>
    <w:rsid w:val="4F4915A7"/>
    <w:rsid w:val="4F5F0DCA"/>
    <w:rsid w:val="4F9273F2"/>
    <w:rsid w:val="4FA113E3"/>
    <w:rsid w:val="4FA47125"/>
    <w:rsid w:val="4FBE7097"/>
    <w:rsid w:val="4FBF5D0D"/>
    <w:rsid w:val="4FC43269"/>
    <w:rsid w:val="4FD23C92"/>
    <w:rsid w:val="4FDC066D"/>
    <w:rsid w:val="5006393C"/>
    <w:rsid w:val="501F0559"/>
    <w:rsid w:val="503F09B5"/>
    <w:rsid w:val="50446212"/>
    <w:rsid w:val="50624BD2"/>
    <w:rsid w:val="508D55B7"/>
    <w:rsid w:val="509B0528"/>
    <w:rsid w:val="50A867A1"/>
    <w:rsid w:val="50B52C6C"/>
    <w:rsid w:val="50B82E88"/>
    <w:rsid w:val="50BC224C"/>
    <w:rsid w:val="50C10D15"/>
    <w:rsid w:val="50D91050"/>
    <w:rsid w:val="50E13A61"/>
    <w:rsid w:val="51031C29"/>
    <w:rsid w:val="510D4856"/>
    <w:rsid w:val="5116195C"/>
    <w:rsid w:val="514229EF"/>
    <w:rsid w:val="5151508A"/>
    <w:rsid w:val="51596C16"/>
    <w:rsid w:val="517843C5"/>
    <w:rsid w:val="517B5C63"/>
    <w:rsid w:val="51905BB3"/>
    <w:rsid w:val="519108A5"/>
    <w:rsid w:val="51C969CF"/>
    <w:rsid w:val="51CC4711"/>
    <w:rsid w:val="51E101BC"/>
    <w:rsid w:val="51E13142"/>
    <w:rsid w:val="51F06651"/>
    <w:rsid w:val="51F223CA"/>
    <w:rsid w:val="51FE73EE"/>
    <w:rsid w:val="520B6FE7"/>
    <w:rsid w:val="521D6D1B"/>
    <w:rsid w:val="52224331"/>
    <w:rsid w:val="523C1897"/>
    <w:rsid w:val="523D116B"/>
    <w:rsid w:val="52481FEA"/>
    <w:rsid w:val="525070F0"/>
    <w:rsid w:val="527903F5"/>
    <w:rsid w:val="528F19C6"/>
    <w:rsid w:val="52A511EA"/>
    <w:rsid w:val="52BD163A"/>
    <w:rsid w:val="52C553E8"/>
    <w:rsid w:val="52C63844"/>
    <w:rsid w:val="52DB33FF"/>
    <w:rsid w:val="52DB4C0C"/>
    <w:rsid w:val="52DC2732"/>
    <w:rsid w:val="52F263F9"/>
    <w:rsid w:val="53134F15"/>
    <w:rsid w:val="531E0F9C"/>
    <w:rsid w:val="53397B84"/>
    <w:rsid w:val="534C07E0"/>
    <w:rsid w:val="538232D9"/>
    <w:rsid w:val="538D6F47"/>
    <w:rsid w:val="53AE2320"/>
    <w:rsid w:val="53B447E3"/>
    <w:rsid w:val="53BD6A07"/>
    <w:rsid w:val="54095B31"/>
    <w:rsid w:val="540B32CF"/>
    <w:rsid w:val="541E4C2B"/>
    <w:rsid w:val="54387E3C"/>
    <w:rsid w:val="543A77AF"/>
    <w:rsid w:val="544E765F"/>
    <w:rsid w:val="54520EFE"/>
    <w:rsid w:val="548D0188"/>
    <w:rsid w:val="548F2152"/>
    <w:rsid w:val="5495528E"/>
    <w:rsid w:val="54A14A4B"/>
    <w:rsid w:val="54A31759"/>
    <w:rsid w:val="54A51975"/>
    <w:rsid w:val="54C067AF"/>
    <w:rsid w:val="54CF69F2"/>
    <w:rsid w:val="54DC2EBD"/>
    <w:rsid w:val="54EB4EAE"/>
    <w:rsid w:val="54EC24E5"/>
    <w:rsid w:val="55110DB9"/>
    <w:rsid w:val="55215DAD"/>
    <w:rsid w:val="55322ADD"/>
    <w:rsid w:val="55517407"/>
    <w:rsid w:val="555B64D8"/>
    <w:rsid w:val="555E31B6"/>
    <w:rsid w:val="55690BF5"/>
    <w:rsid w:val="556A671B"/>
    <w:rsid w:val="558772CD"/>
    <w:rsid w:val="558F7F2F"/>
    <w:rsid w:val="55A41C2D"/>
    <w:rsid w:val="55A734CB"/>
    <w:rsid w:val="55A90FF1"/>
    <w:rsid w:val="55CC1183"/>
    <w:rsid w:val="55F52488"/>
    <w:rsid w:val="55FF50B5"/>
    <w:rsid w:val="56260894"/>
    <w:rsid w:val="56327239"/>
    <w:rsid w:val="563B3C13"/>
    <w:rsid w:val="56690780"/>
    <w:rsid w:val="56737851"/>
    <w:rsid w:val="56850F6A"/>
    <w:rsid w:val="56905D0D"/>
    <w:rsid w:val="569808DA"/>
    <w:rsid w:val="56AB2B47"/>
    <w:rsid w:val="56B511F4"/>
    <w:rsid w:val="56CD51B3"/>
    <w:rsid w:val="56E60023"/>
    <w:rsid w:val="56FB1D20"/>
    <w:rsid w:val="570010E5"/>
    <w:rsid w:val="570F757A"/>
    <w:rsid w:val="57236B81"/>
    <w:rsid w:val="573A0E9B"/>
    <w:rsid w:val="57405985"/>
    <w:rsid w:val="57572CCF"/>
    <w:rsid w:val="57580F21"/>
    <w:rsid w:val="575D6537"/>
    <w:rsid w:val="5765363E"/>
    <w:rsid w:val="57731A85"/>
    <w:rsid w:val="57C02622"/>
    <w:rsid w:val="57CA34A1"/>
    <w:rsid w:val="57D12A81"/>
    <w:rsid w:val="57D61E46"/>
    <w:rsid w:val="57EC78BB"/>
    <w:rsid w:val="57FD5624"/>
    <w:rsid w:val="58020E8D"/>
    <w:rsid w:val="58093FC9"/>
    <w:rsid w:val="581B5AAA"/>
    <w:rsid w:val="583F5C3D"/>
    <w:rsid w:val="58441D2C"/>
    <w:rsid w:val="584D65AC"/>
    <w:rsid w:val="589D2963"/>
    <w:rsid w:val="58B1686C"/>
    <w:rsid w:val="58C47EF0"/>
    <w:rsid w:val="58DE7204"/>
    <w:rsid w:val="58DF11CE"/>
    <w:rsid w:val="58ED5699"/>
    <w:rsid w:val="58F22CAF"/>
    <w:rsid w:val="58F632BA"/>
    <w:rsid w:val="58FD3402"/>
    <w:rsid w:val="595B5339"/>
    <w:rsid w:val="595E6596"/>
    <w:rsid w:val="59710D24"/>
    <w:rsid w:val="59835FFD"/>
    <w:rsid w:val="598B063B"/>
    <w:rsid w:val="59A26483"/>
    <w:rsid w:val="59A87812"/>
    <w:rsid w:val="59BD150F"/>
    <w:rsid w:val="59C96464"/>
    <w:rsid w:val="59D423B5"/>
    <w:rsid w:val="59F1740B"/>
    <w:rsid w:val="59F42A57"/>
    <w:rsid w:val="59F91E1B"/>
    <w:rsid w:val="5A05700C"/>
    <w:rsid w:val="5A063E3B"/>
    <w:rsid w:val="5A0B6BA5"/>
    <w:rsid w:val="5A0C7DA1"/>
    <w:rsid w:val="5A1B6236"/>
    <w:rsid w:val="5A2F3A8F"/>
    <w:rsid w:val="5A364E1D"/>
    <w:rsid w:val="5A382944"/>
    <w:rsid w:val="5A4A08C9"/>
    <w:rsid w:val="5A533C21"/>
    <w:rsid w:val="5A7616BE"/>
    <w:rsid w:val="5A7F6D64"/>
    <w:rsid w:val="5A9643C6"/>
    <w:rsid w:val="5A9A3496"/>
    <w:rsid w:val="5AA71877"/>
    <w:rsid w:val="5ABB406C"/>
    <w:rsid w:val="5AC468CD"/>
    <w:rsid w:val="5AC71E58"/>
    <w:rsid w:val="5AC71F19"/>
    <w:rsid w:val="5ACE32A8"/>
    <w:rsid w:val="5ACE5056"/>
    <w:rsid w:val="5AD05272"/>
    <w:rsid w:val="5AF62615"/>
    <w:rsid w:val="5B082265"/>
    <w:rsid w:val="5B0942E0"/>
    <w:rsid w:val="5B0E5771"/>
    <w:rsid w:val="5B2E0ED5"/>
    <w:rsid w:val="5B4377F2"/>
    <w:rsid w:val="5B4F43E9"/>
    <w:rsid w:val="5B547F74"/>
    <w:rsid w:val="5B5714EF"/>
    <w:rsid w:val="5B5F2152"/>
    <w:rsid w:val="5B6A7475"/>
    <w:rsid w:val="5B751975"/>
    <w:rsid w:val="5B77749C"/>
    <w:rsid w:val="5B7E6A7C"/>
    <w:rsid w:val="5B8C73EB"/>
    <w:rsid w:val="5BBC1352"/>
    <w:rsid w:val="5BBD0A74"/>
    <w:rsid w:val="5BC56459"/>
    <w:rsid w:val="5BCF552A"/>
    <w:rsid w:val="5BE72873"/>
    <w:rsid w:val="5BEA2363"/>
    <w:rsid w:val="5BEB6749"/>
    <w:rsid w:val="5BEC7E8A"/>
    <w:rsid w:val="5BF136F2"/>
    <w:rsid w:val="5BF44F90"/>
    <w:rsid w:val="5BF94355"/>
    <w:rsid w:val="5C384E7D"/>
    <w:rsid w:val="5C4001D5"/>
    <w:rsid w:val="5C433822"/>
    <w:rsid w:val="5C514191"/>
    <w:rsid w:val="5C5F68AD"/>
    <w:rsid w:val="5C6F4617"/>
    <w:rsid w:val="5C844566"/>
    <w:rsid w:val="5CA249EC"/>
    <w:rsid w:val="5CAA564F"/>
    <w:rsid w:val="5CC11316"/>
    <w:rsid w:val="5CCB3F43"/>
    <w:rsid w:val="5CDB36D4"/>
    <w:rsid w:val="5CF60894"/>
    <w:rsid w:val="5D011713"/>
    <w:rsid w:val="5D0D455B"/>
    <w:rsid w:val="5D1801C1"/>
    <w:rsid w:val="5D1D22C5"/>
    <w:rsid w:val="5D243653"/>
    <w:rsid w:val="5D283143"/>
    <w:rsid w:val="5D333896"/>
    <w:rsid w:val="5D3E2967"/>
    <w:rsid w:val="5D537A94"/>
    <w:rsid w:val="5D6677C8"/>
    <w:rsid w:val="5D731EE5"/>
    <w:rsid w:val="5D7E2D63"/>
    <w:rsid w:val="5D953C84"/>
    <w:rsid w:val="5DCF27DE"/>
    <w:rsid w:val="5DCF329C"/>
    <w:rsid w:val="5DE11544"/>
    <w:rsid w:val="5DE66B5A"/>
    <w:rsid w:val="5DE84681"/>
    <w:rsid w:val="5DF72B16"/>
    <w:rsid w:val="5DF748C4"/>
    <w:rsid w:val="5DF9688E"/>
    <w:rsid w:val="5E1F4C24"/>
    <w:rsid w:val="5E203E1A"/>
    <w:rsid w:val="5E2356B9"/>
    <w:rsid w:val="5E28130E"/>
    <w:rsid w:val="5E3141A0"/>
    <w:rsid w:val="5E3B6EA6"/>
    <w:rsid w:val="5E3E3A04"/>
    <w:rsid w:val="5E4775F9"/>
    <w:rsid w:val="5E7110B5"/>
    <w:rsid w:val="5E8E5228"/>
    <w:rsid w:val="5E9B767A"/>
    <w:rsid w:val="5EA15989"/>
    <w:rsid w:val="5EA93E10"/>
    <w:rsid w:val="5EAE1426"/>
    <w:rsid w:val="5EDD1D0C"/>
    <w:rsid w:val="5EF808F3"/>
    <w:rsid w:val="5F0061FA"/>
    <w:rsid w:val="5F0D61D7"/>
    <w:rsid w:val="5F1A6ABC"/>
    <w:rsid w:val="5F30008D"/>
    <w:rsid w:val="5F351B48"/>
    <w:rsid w:val="5F487ACD"/>
    <w:rsid w:val="5F4E6765"/>
    <w:rsid w:val="5F5A2766"/>
    <w:rsid w:val="5F5C5326"/>
    <w:rsid w:val="5F7A57AC"/>
    <w:rsid w:val="5F814D8D"/>
    <w:rsid w:val="5FA63AE7"/>
    <w:rsid w:val="5FA758C0"/>
    <w:rsid w:val="5FA8746E"/>
    <w:rsid w:val="5FAB005C"/>
    <w:rsid w:val="5FB26F83"/>
    <w:rsid w:val="5FB32A6C"/>
    <w:rsid w:val="5FBA3DFB"/>
    <w:rsid w:val="5FBE7D8F"/>
    <w:rsid w:val="5FD70E51"/>
    <w:rsid w:val="5FE33352"/>
    <w:rsid w:val="5FE61094"/>
    <w:rsid w:val="5FEB2154"/>
    <w:rsid w:val="5FFE63DD"/>
    <w:rsid w:val="600357A2"/>
    <w:rsid w:val="60066961"/>
    <w:rsid w:val="60067040"/>
    <w:rsid w:val="600F2399"/>
    <w:rsid w:val="60194FC5"/>
    <w:rsid w:val="601B2AEB"/>
    <w:rsid w:val="6074044E"/>
    <w:rsid w:val="60794C70"/>
    <w:rsid w:val="607D5554"/>
    <w:rsid w:val="609B3C2C"/>
    <w:rsid w:val="60B151FE"/>
    <w:rsid w:val="60B620AE"/>
    <w:rsid w:val="60C767CF"/>
    <w:rsid w:val="611112E5"/>
    <w:rsid w:val="61135EB8"/>
    <w:rsid w:val="61306A6A"/>
    <w:rsid w:val="613D1187"/>
    <w:rsid w:val="61483DB4"/>
    <w:rsid w:val="61493688"/>
    <w:rsid w:val="615C5A4F"/>
    <w:rsid w:val="617F354E"/>
    <w:rsid w:val="61811074"/>
    <w:rsid w:val="6183303E"/>
    <w:rsid w:val="618A3260"/>
    <w:rsid w:val="619568CD"/>
    <w:rsid w:val="61970A92"/>
    <w:rsid w:val="619743F4"/>
    <w:rsid w:val="61B03707"/>
    <w:rsid w:val="61CE3B8D"/>
    <w:rsid w:val="61D94A0C"/>
    <w:rsid w:val="61E0223F"/>
    <w:rsid w:val="62065A1D"/>
    <w:rsid w:val="620677CB"/>
    <w:rsid w:val="62261C1B"/>
    <w:rsid w:val="62483940"/>
    <w:rsid w:val="625D388F"/>
    <w:rsid w:val="62634C1E"/>
    <w:rsid w:val="626A7D5A"/>
    <w:rsid w:val="626C5880"/>
    <w:rsid w:val="627B3D15"/>
    <w:rsid w:val="628506F0"/>
    <w:rsid w:val="62886432"/>
    <w:rsid w:val="628D1847"/>
    <w:rsid w:val="62967055"/>
    <w:rsid w:val="62A3326C"/>
    <w:rsid w:val="62B92A90"/>
    <w:rsid w:val="62BD60DC"/>
    <w:rsid w:val="62BF3E72"/>
    <w:rsid w:val="62C95C4A"/>
    <w:rsid w:val="62D82F16"/>
    <w:rsid w:val="62E01DCA"/>
    <w:rsid w:val="62E55633"/>
    <w:rsid w:val="62E95123"/>
    <w:rsid w:val="62F576BC"/>
    <w:rsid w:val="630B32EB"/>
    <w:rsid w:val="631A52DC"/>
    <w:rsid w:val="63416D0D"/>
    <w:rsid w:val="634D1E13"/>
    <w:rsid w:val="635527B8"/>
    <w:rsid w:val="636C365E"/>
    <w:rsid w:val="637C5F97"/>
    <w:rsid w:val="63974B7F"/>
    <w:rsid w:val="63996166"/>
    <w:rsid w:val="639D071C"/>
    <w:rsid w:val="63BE035D"/>
    <w:rsid w:val="63C60FC0"/>
    <w:rsid w:val="63C65464"/>
    <w:rsid w:val="63DD630A"/>
    <w:rsid w:val="63F41FD1"/>
    <w:rsid w:val="63F83144"/>
    <w:rsid w:val="63FC2C34"/>
    <w:rsid w:val="6421269A"/>
    <w:rsid w:val="64322AF9"/>
    <w:rsid w:val="6432791E"/>
    <w:rsid w:val="643369DC"/>
    <w:rsid w:val="64446389"/>
    <w:rsid w:val="6449399F"/>
    <w:rsid w:val="645D723D"/>
    <w:rsid w:val="646864C1"/>
    <w:rsid w:val="647B7FFD"/>
    <w:rsid w:val="649B069F"/>
    <w:rsid w:val="64A15D85"/>
    <w:rsid w:val="64B151CF"/>
    <w:rsid w:val="64B67287"/>
    <w:rsid w:val="64B82FFF"/>
    <w:rsid w:val="64C37BF6"/>
    <w:rsid w:val="64E5191A"/>
    <w:rsid w:val="6509385A"/>
    <w:rsid w:val="65173D38"/>
    <w:rsid w:val="651E6BDA"/>
    <w:rsid w:val="65352EBF"/>
    <w:rsid w:val="655A2308"/>
    <w:rsid w:val="656942F9"/>
    <w:rsid w:val="656C3DE9"/>
    <w:rsid w:val="656E190F"/>
    <w:rsid w:val="656F7435"/>
    <w:rsid w:val="658E1FB1"/>
    <w:rsid w:val="65913819"/>
    <w:rsid w:val="65C06580"/>
    <w:rsid w:val="65D200F0"/>
    <w:rsid w:val="65D97752"/>
    <w:rsid w:val="66042274"/>
    <w:rsid w:val="66081D64"/>
    <w:rsid w:val="662A7F2C"/>
    <w:rsid w:val="662C5310"/>
    <w:rsid w:val="662D5327"/>
    <w:rsid w:val="664D3C1B"/>
    <w:rsid w:val="6650520D"/>
    <w:rsid w:val="665705F5"/>
    <w:rsid w:val="66644AC0"/>
    <w:rsid w:val="666F3B91"/>
    <w:rsid w:val="668F5FE1"/>
    <w:rsid w:val="66A03D4A"/>
    <w:rsid w:val="66B23A7E"/>
    <w:rsid w:val="66B617C0"/>
    <w:rsid w:val="66BC4386"/>
    <w:rsid w:val="66C11F13"/>
    <w:rsid w:val="66C832A1"/>
    <w:rsid w:val="66D24120"/>
    <w:rsid w:val="66D35104"/>
    <w:rsid w:val="66E55C01"/>
    <w:rsid w:val="66FE6CC3"/>
    <w:rsid w:val="67000C8D"/>
    <w:rsid w:val="67140294"/>
    <w:rsid w:val="6727446C"/>
    <w:rsid w:val="673152EA"/>
    <w:rsid w:val="6740552D"/>
    <w:rsid w:val="67446DCC"/>
    <w:rsid w:val="67452B44"/>
    <w:rsid w:val="674E19F8"/>
    <w:rsid w:val="6759214B"/>
    <w:rsid w:val="67696832"/>
    <w:rsid w:val="67784CC7"/>
    <w:rsid w:val="6779459B"/>
    <w:rsid w:val="6787315C"/>
    <w:rsid w:val="678E0047"/>
    <w:rsid w:val="679A2E90"/>
    <w:rsid w:val="67A23AF2"/>
    <w:rsid w:val="67A55390"/>
    <w:rsid w:val="67B57CC9"/>
    <w:rsid w:val="67C21F0D"/>
    <w:rsid w:val="67C577E1"/>
    <w:rsid w:val="67CF4D51"/>
    <w:rsid w:val="67D0240D"/>
    <w:rsid w:val="67DB6000"/>
    <w:rsid w:val="67FB3202"/>
    <w:rsid w:val="681A3FD0"/>
    <w:rsid w:val="683010FE"/>
    <w:rsid w:val="68352BB8"/>
    <w:rsid w:val="683B27F5"/>
    <w:rsid w:val="683E1A6D"/>
    <w:rsid w:val="68582403"/>
    <w:rsid w:val="685E2C42"/>
    <w:rsid w:val="685F7C35"/>
    <w:rsid w:val="686F7E78"/>
    <w:rsid w:val="68792AA5"/>
    <w:rsid w:val="689C49E5"/>
    <w:rsid w:val="68B41D2F"/>
    <w:rsid w:val="68B7537B"/>
    <w:rsid w:val="68C87588"/>
    <w:rsid w:val="68E1689C"/>
    <w:rsid w:val="68F4037D"/>
    <w:rsid w:val="68F91E38"/>
    <w:rsid w:val="68FB5BB0"/>
    <w:rsid w:val="690507DD"/>
    <w:rsid w:val="690E58E3"/>
    <w:rsid w:val="69155376"/>
    <w:rsid w:val="69286279"/>
    <w:rsid w:val="69382960"/>
    <w:rsid w:val="693B5FAC"/>
    <w:rsid w:val="693E784B"/>
    <w:rsid w:val="69601EB7"/>
    <w:rsid w:val="696C085C"/>
    <w:rsid w:val="696E6382"/>
    <w:rsid w:val="697274F4"/>
    <w:rsid w:val="69821E2D"/>
    <w:rsid w:val="6994235F"/>
    <w:rsid w:val="69997176"/>
    <w:rsid w:val="69AC0C58"/>
    <w:rsid w:val="69B0699A"/>
    <w:rsid w:val="6A0E36C1"/>
    <w:rsid w:val="6A1D56B2"/>
    <w:rsid w:val="6A25645D"/>
    <w:rsid w:val="6A266C5C"/>
    <w:rsid w:val="6A276531"/>
    <w:rsid w:val="6A31115D"/>
    <w:rsid w:val="6A3A44B6"/>
    <w:rsid w:val="6A3C022E"/>
    <w:rsid w:val="6A3F35DF"/>
    <w:rsid w:val="6A3F726A"/>
    <w:rsid w:val="6A5D6ABC"/>
    <w:rsid w:val="6A7379C8"/>
    <w:rsid w:val="6A773014"/>
    <w:rsid w:val="6A892D47"/>
    <w:rsid w:val="6A975464"/>
    <w:rsid w:val="6AA47B81"/>
    <w:rsid w:val="6AA638F9"/>
    <w:rsid w:val="6AAD2EDA"/>
    <w:rsid w:val="6ACE7020"/>
    <w:rsid w:val="6AD14E1A"/>
    <w:rsid w:val="6AEB755E"/>
    <w:rsid w:val="6AEF52A0"/>
    <w:rsid w:val="6AFB7EDB"/>
    <w:rsid w:val="6AFC79BD"/>
    <w:rsid w:val="6AFF300A"/>
    <w:rsid w:val="6B2D5DC9"/>
    <w:rsid w:val="6B43383E"/>
    <w:rsid w:val="6B454EC0"/>
    <w:rsid w:val="6B60619E"/>
    <w:rsid w:val="6B657311"/>
    <w:rsid w:val="6B712159"/>
    <w:rsid w:val="6B7F44DB"/>
    <w:rsid w:val="6B9B71D6"/>
    <w:rsid w:val="6BA05B6D"/>
    <w:rsid w:val="6BC404DB"/>
    <w:rsid w:val="6BC56001"/>
    <w:rsid w:val="6BE779B3"/>
    <w:rsid w:val="6C186A79"/>
    <w:rsid w:val="6C1D408F"/>
    <w:rsid w:val="6C1D5E3D"/>
    <w:rsid w:val="6C2C135B"/>
    <w:rsid w:val="6C2C6080"/>
    <w:rsid w:val="6C354F35"/>
    <w:rsid w:val="6C4C1E3D"/>
    <w:rsid w:val="6C501D6F"/>
    <w:rsid w:val="6C5C4BB7"/>
    <w:rsid w:val="6C67530A"/>
    <w:rsid w:val="6C6C0370"/>
    <w:rsid w:val="6C700663"/>
    <w:rsid w:val="6C755C79"/>
    <w:rsid w:val="6C7F2654"/>
    <w:rsid w:val="6C89702F"/>
    <w:rsid w:val="6C8B46C6"/>
    <w:rsid w:val="6C922387"/>
    <w:rsid w:val="6CB247D7"/>
    <w:rsid w:val="6CB41AC1"/>
    <w:rsid w:val="6CBC31E9"/>
    <w:rsid w:val="6CBD4F2A"/>
    <w:rsid w:val="6CC8224D"/>
    <w:rsid w:val="6CD40BF2"/>
    <w:rsid w:val="6CEA54EF"/>
    <w:rsid w:val="6CFC5A53"/>
    <w:rsid w:val="6D2628EE"/>
    <w:rsid w:val="6D2D3E5E"/>
    <w:rsid w:val="6D401DE3"/>
    <w:rsid w:val="6D5D0BE7"/>
    <w:rsid w:val="6D6B4986"/>
    <w:rsid w:val="6D7C6592"/>
    <w:rsid w:val="6D800432"/>
    <w:rsid w:val="6D8B3250"/>
    <w:rsid w:val="6D910891"/>
    <w:rsid w:val="6DAC56CB"/>
    <w:rsid w:val="6DB66549"/>
    <w:rsid w:val="6DCE3893"/>
    <w:rsid w:val="6DE44E65"/>
    <w:rsid w:val="6DE74955"/>
    <w:rsid w:val="6DFB6CF4"/>
    <w:rsid w:val="6DFB7E69"/>
    <w:rsid w:val="6DFF5B12"/>
    <w:rsid w:val="6E0B7907"/>
    <w:rsid w:val="6E1D2124"/>
    <w:rsid w:val="6E2214E9"/>
    <w:rsid w:val="6E380D0C"/>
    <w:rsid w:val="6E3B6A4F"/>
    <w:rsid w:val="6E423939"/>
    <w:rsid w:val="6E443B55"/>
    <w:rsid w:val="6E447C45"/>
    <w:rsid w:val="6E492F1A"/>
    <w:rsid w:val="6E5378F4"/>
    <w:rsid w:val="6E5A0C83"/>
    <w:rsid w:val="6E5F273D"/>
    <w:rsid w:val="6E5F6813"/>
    <w:rsid w:val="6E645FA5"/>
    <w:rsid w:val="6E6472D6"/>
    <w:rsid w:val="6E8B3532"/>
    <w:rsid w:val="6E8B48D5"/>
    <w:rsid w:val="6E95615F"/>
    <w:rsid w:val="6EB011EB"/>
    <w:rsid w:val="6EBC36EB"/>
    <w:rsid w:val="6EC3108C"/>
    <w:rsid w:val="6EC66318"/>
    <w:rsid w:val="6EDA0016"/>
    <w:rsid w:val="6EE3336E"/>
    <w:rsid w:val="6EED7D49"/>
    <w:rsid w:val="6F0E246F"/>
    <w:rsid w:val="6F370FC4"/>
    <w:rsid w:val="6F5222A2"/>
    <w:rsid w:val="6F523E83"/>
    <w:rsid w:val="6F5C6C7D"/>
    <w:rsid w:val="6F621292"/>
    <w:rsid w:val="6F6F075E"/>
    <w:rsid w:val="6F917C18"/>
    <w:rsid w:val="6F944668"/>
    <w:rsid w:val="6F984159"/>
    <w:rsid w:val="6FA10B33"/>
    <w:rsid w:val="6FA26D85"/>
    <w:rsid w:val="6FB97C2B"/>
    <w:rsid w:val="6FCD39BC"/>
    <w:rsid w:val="6FD15666"/>
    <w:rsid w:val="6FD64C81"/>
    <w:rsid w:val="6FD66A2F"/>
    <w:rsid w:val="6FDB2297"/>
    <w:rsid w:val="6FE27182"/>
    <w:rsid w:val="6FE3114C"/>
    <w:rsid w:val="6FE55261"/>
    <w:rsid w:val="6FEE1FCA"/>
    <w:rsid w:val="6FEE62DE"/>
    <w:rsid w:val="701B6B38"/>
    <w:rsid w:val="70203D2A"/>
    <w:rsid w:val="702F4391"/>
    <w:rsid w:val="70333E81"/>
    <w:rsid w:val="703E6382"/>
    <w:rsid w:val="70490379"/>
    <w:rsid w:val="704F233D"/>
    <w:rsid w:val="70571DC6"/>
    <w:rsid w:val="707C57E1"/>
    <w:rsid w:val="70AB7EBB"/>
    <w:rsid w:val="70C66AA3"/>
    <w:rsid w:val="70D96CB3"/>
    <w:rsid w:val="70DC1E23"/>
    <w:rsid w:val="70ED4030"/>
    <w:rsid w:val="71193077"/>
    <w:rsid w:val="711F7F62"/>
    <w:rsid w:val="712E4649"/>
    <w:rsid w:val="713003C1"/>
    <w:rsid w:val="714C3BDE"/>
    <w:rsid w:val="715A71EC"/>
    <w:rsid w:val="71632544"/>
    <w:rsid w:val="7165128B"/>
    <w:rsid w:val="71722787"/>
    <w:rsid w:val="719721EE"/>
    <w:rsid w:val="71A566B9"/>
    <w:rsid w:val="71DE606F"/>
    <w:rsid w:val="71E73175"/>
    <w:rsid w:val="71E847F7"/>
    <w:rsid w:val="720948DA"/>
    <w:rsid w:val="720F713E"/>
    <w:rsid w:val="721D6B97"/>
    <w:rsid w:val="722C2936"/>
    <w:rsid w:val="726D470A"/>
    <w:rsid w:val="729B5D0E"/>
    <w:rsid w:val="729D55E2"/>
    <w:rsid w:val="72B648F6"/>
    <w:rsid w:val="72B8066E"/>
    <w:rsid w:val="72C74D55"/>
    <w:rsid w:val="72E72D01"/>
    <w:rsid w:val="72EE0533"/>
    <w:rsid w:val="72F21DD2"/>
    <w:rsid w:val="72F24EC4"/>
    <w:rsid w:val="72FB3C84"/>
    <w:rsid w:val="73013DC3"/>
    <w:rsid w:val="73117D7E"/>
    <w:rsid w:val="73247AB1"/>
    <w:rsid w:val="733E3E8F"/>
    <w:rsid w:val="73612235"/>
    <w:rsid w:val="736D1A79"/>
    <w:rsid w:val="73813156"/>
    <w:rsid w:val="738A025C"/>
    <w:rsid w:val="739174DF"/>
    <w:rsid w:val="73942E89"/>
    <w:rsid w:val="73B057E9"/>
    <w:rsid w:val="73B52DFF"/>
    <w:rsid w:val="73B928EF"/>
    <w:rsid w:val="73C372CA"/>
    <w:rsid w:val="73CD1EF7"/>
    <w:rsid w:val="73CF03F5"/>
    <w:rsid w:val="73D43285"/>
    <w:rsid w:val="73E159A2"/>
    <w:rsid w:val="73FE0302"/>
    <w:rsid w:val="74190BE5"/>
    <w:rsid w:val="7423031F"/>
    <w:rsid w:val="743D707D"/>
    <w:rsid w:val="743E4BA3"/>
    <w:rsid w:val="74591015"/>
    <w:rsid w:val="74626AE3"/>
    <w:rsid w:val="747D1B6F"/>
    <w:rsid w:val="748A603A"/>
    <w:rsid w:val="74A52E74"/>
    <w:rsid w:val="74C301D5"/>
    <w:rsid w:val="74C4779E"/>
    <w:rsid w:val="74DB0643"/>
    <w:rsid w:val="74E4574A"/>
    <w:rsid w:val="75061B64"/>
    <w:rsid w:val="75243D99"/>
    <w:rsid w:val="75265D63"/>
    <w:rsid w:val="752C12EB"/>
    <w:rsid w:val="75387844"/>
    <w:rsid w:val="7544268D"/>
    <w:rsid w:val="754B3A1B"/>
    <w:rsid w:val="75524DAA"/>
    <w:rsid w:val="755503F6"/>
    <w:rsid w:val="75614FED"/>
    <w:rsid w:val="75677747"/>
    <w:rsid w:val="757271FA"/>
    <w:rsid w:val="75812F99"/>
    <w:rsid w:val="7590142E"/>
    <w:rsid w:val="75A634FC"/>
    <w:rsid w:val="75AD3D8E"/>
    <w:rsid w:val="75B66C09"/>
    <w:rsid w:val="75C31803"/>
    <w:rsid w:val="75D03F20"/>
    <w:rsid w:val="75E43528"/>
    <w:rsid w:val="75E63744"/>
    <w:rsid w:val="75F61BD9"/>
    <w:rsid w:val="76120095"/>
    <w:rsid w:val="761402B1"/>
    <w:rsid w:val="762C55FB"/>
    <w:rsid w:val="762D1373"/>
    <w:rsid w:val="76305503"/>
    <w:rsid w:val="76326989"/>
    <w:rsid w:val="76375D4D"/>
    <w:rsid w:val="763B1390"/>
    <w:rsid w:val="76446C22"/>
    <w:rsid w:val="76487F5B"/>
    <w:rsid w:val="76684159"/>
    <w:rsid w:val="76764AC8"/>
    <w:rsid w:val="76830F93"/>
    <w:rsid w:val="76AD3017"/>
    <w:rsid w:val="76C92E49"/>
    <w:rsid w:val="76E47C83"/>
    <w:rsid w:val="76EA1012"/>
    <w:rsid w:val="76F61765"/>
    <w:rsid w:val="77147E3D"/>
    <w:rsid w:val="7726029C"/>
    <w:rsid w:val="77364257"/>
    <w:rsid w:val="776C1D69"/>
    <w:rsid w:val="77732DB5"/>
    <w:rsid w:val="77860D3A"/>
    <w:rsid w:val="77866F8C"/>
    <w:rsid w:val="77885675"/>
    <w:rsid w:val="779416A9"/>
    <w:rsid w:val="779A2A38"/>
    <w:rsid w:val="779A6594"/>
    <w:rsid w:val="77A13DC6"/>
    <w:rsid w:val="77AD276B"/>
    <w:rsid w:val="77B63CFE"/>
    <w:rsid w:val="77CD6969"/>
    <w:rsid w:val="77E14C61"/>
    <w:rsid w:val="77EA751B"/>
    <w:rsid w:val="77ED4CF9"/>
    <w:rsid w:val="78047EB1"/>
    <w:rsid w:val="78061E7B"/>
    <w:rsid w:val="780879A1"/>
    <w:rsid w:val="780E07AA"/>
    <w:rsid w:val="78126A72"/>
    <w:rsid w:val="781A76D5"/>
    <w:rsid w:val="78252301"/>
    <w:rsid w:val="782C7B34"/>
    <w:rsid w:val="7840538D"/>
    <w:rsid w:val="7851759A"/>
    <w:rsid w:val="785E75C1"/>
    <w:rsid w:val="78711EA5"/>
    <w:rsid w:val="78866B18"/>
    <w:rsid w:val="78B6564F"/>
    <w:rsid w:val="78B96509"/>
    <w:rsid w:val="78BD7CE8"/>
    <w:rsid w:val="78CD4747"/>
    <w:rsid w:val="78CF04BF"/>
    <w:rsid w:val="78E421BD"/>
    <w:rsid w:val="78EF46BD"/>
    <w:rsid w:val="78F27B6D"/>
    <w:rsid w:val="78FA1E5E"/>
    <w:rsid w:val="791034D4"/>
    <w:rsid w:val="79110AD8"/>
    <w:rsid w:val="791E4FA3"/>
    <w:rsid w:val="79254583"/>
    <w:rsid w:val="79273E57"/>
    <w:rsid w:val="794B3FEA"/>
    <w:rsid w:val="79752E15"/>
    <w:rsid w:val="798017B9"/>
    <w:rsid w:val="79827935"/>
    <w:rsid w:val="79894B12"/>
    <w:rsid w:val="79907C4E"/>
    <w:rsid w:val="79A731EA"/>
    <w:rsid w:val="79C1605A"/>
    <w:rsid w:val="79D833A4"/>
    <w:rsid w:val="79EF7EC1"/>
    <w:rsid w:val="7A100247"/>
    <w:rsid w:val="7A1C7734"/>
    <w:rsid w:val="7A2A00A3"/>
    <w:rsid w:val="7A3C3940"/>
    <w:rsid w:val="7A48677B"/>
    <w:rsid w:val="7A4E3666"/>
    <w:rsid w:val="7A552C46"/>
    <w:rsid w:val="7A590988"/>
    <w:rsid w:val="7A7237F8"/>
    <w:rsid w:val="7A7B26AD"/>
    <w:rsid w:val="7A7C6425"/>
    <w:rsid w:val="7A7E3F4B"/>
    <w:rsid w:val="7A884DCA"/>
    <w:rsid w:val="7A9674E6"/>
    <w:rsid w:val="7AA375B7"/>
    <w:rsid w:val="7AAF67FA"/>
    <w:rsid w:val="7AC35E02"/>
    <w:rsid w:val="7AD718AD"/>
    <w:rsid w:val="7ADD0951"/>
    <w:rsid w:val="7AEA338E"/>
    <w:rsid w:val="7AF366E7"/>
    <w:rsid w:val="7AF73293"/>
    <w:rsid w:val="7B05201F"/>
    <w:rsid w:val="7B14665D"/>
    <w:rsid w:val="7B18614D"/>
    <w:rsid w:val="7B1B5C3E"/>
    <w:rsid w:val="7B290EDC"/>
    <w:rsid w:val="7B3F192C"/>
    <w:rsid w:val="7B551150"/>
    <w:rsid w:val="7B6018A2"/>
    <w:rsid w:val="7B6273C9"/>
    <w:rsid w:val="7B9003DA"/>
    <w:rsid w:val="7BA55DD3"/>
    <w:rsid w:val="7BCF3A79"/>
    <w:rsid w:val="7BDF4996"/>
    <w:rsid w:val="7BE972B1"/>
    <w:rsid w:val="7BF12E44"/>
    <w:rsid w:val="7BF87D2D"/>
    <w:rsid w:val="7C030BAC"/>
    <w:rsid w:val="7C084414"/>
    <w:rsid w:val="7C0C5586"/>
    <w:rsid w:val="7C1032C9"/>
    <w:rsid w:val="7C267368"/>
    <w:rsid w:val="7C29438A"/>
    <w:rsid w:val="7C2B0102"/>
    <w:rsid w:val="7C3074C7"/>
    <w:rsid w:val="7C336FB7"/>
    <w:rsid w:val="7C352D2F"/>
    <w:rsid w:val="7C480CB4"/>
    <w:rsid w:val="7C490589"/>
    <w:rsid w:val="7C4B2553"/>
    <w:rsid w:val="7C4D47FB"/>
    <w:rsid w:val="7C61631C"/>
    <w:rsid w:val="7C630FA8"/>
    <w:rsid w:val="7C696FC2"/>
    <w:rsid w:val="7C8D4919"/>
    <w:rsid w:val="7C991950"/>
    <w:rsid w:val="7CAB4D9F"/>
    <w:rsid w:val="7CB1685A"/>
    <w:rsid w:val="7CC52305"/>
    <w:rsid w:val="7CCC6031"/>
    <w:rsid w:val="7CCD4D16"/>
    <w:rsid w:val="7CE62FC6"/>
    <w:rsid w:val="7CEA2CFB"/>
    <w:rsid w:val="7CF60710"/>
    <w:rsid w:val="7D0F17D2"/>
    <w:rsid w:val="7D67516A"/>
    <w:rsid w:val="7D7004C3"/>
    <w:rsid w:val="7D8127AA"/>
    <w:rsid w:val="7D9106A3"/>
    <w:rsid w:val="7DA95783"/>
    <w:rsid w:val="7DBF6D54"/>
    <w:rsid w:val="7DD30A52"/>
    <w:rsid w:val="7DE363D6"/>
    <w:rsid w:val="7DEB18F7"/>
    <w:rsid w:val="7DF84014"/>
    <w:rsid w:val="7DFC3B04"/>
    <w:rsid w:val="7E0E3838"/>
    <w:rsid w:val="7E186464"/>
    <w:rsid w:val="7E290672"/>
    <w:rsid w:val="7E477DBC"/>
    <w:rsid w:val="7E494AF8"/>
    <w:rsid w:val="7E6873EC"/>
    <w:rsid w:val="7E6F14A8"/>
    <w:rsid w:val="7E6F669E"/>
    <w:rsid w:val="7E725B75"/>
    <w:rsid w:val="7E751B09"/>
    <w:rsid w:val="7E9F0934"/>
    <w:rsid w:val="7ED700CE"/>
    <w:rsid w:val="7EDC7492"/>
    <w:rsid w:val="7EFC7B34"/>
    <w:rsid w:val="7EFE1AFE"/>
    <w:rsid w:val="7F005876"/>
    <w:rsid w:val="7F052E8D"/>
    <w:rsid w:val="7F08297D"/>
    <w:rsid w:val="7F1332BD"/>
    <w:rsid w:val="7F160BF6"/>
    <w:rsid w:val="7F296FB2"/>
    <w:rsid w:val="7F3B065C"/>
    <w:rsid w:val="7F5339C7"/>
    <w:rsid w:val="7F69341C"/>
    <w:rsid w:val="7F77D46B"/>
    <w:rsid w:val="7F7B4EFD"/>
    <w:rsid w:val="7F7D6EC7"/>
    <w:rsid w:val="7F912972"/>
    <w:rsid w:val="7F923FF5"/>
    <w:rsid w:val="7FA04963"/>
    <w:rsid w:val="7FA347B9"/>
    <w:rsid w:val="7FA91A6A"/>
    <w:rsid w:val="7FB1091F"/>
    <w:rsid w:val="7FBA5A25"/>
    <w:rsid w:val="7FBF19CE"/>
    <w:rsid w:val="7FC06DB4"/>
    <w:rsid w:val="7FC248DA"/>
    <w:rsid w:val="7FCE14D1"/>
    <w:rsid w:val="7FD91C23"/>
    <w:rsid w:val="7FDD7966"/>
    <w:rsid w:val="7FE85121"/>
    <w:rsid w:val="7FF37189"/>
    <w:rsid w:val="BB4C7C42"/>
    <w:rsid w:val="EB3EA942"/>
    <w:rsid w:val="FE7AD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5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5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52"/>
    <w:autoRedefine/>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annotation text"/>
    <w:basedOn w:val="1"/>
    <w:autoRedefine/>
    <w:semiHidden/>
    <w:unhideWhenUsed/>
    <w:qFormat/>
    <w:uiPriority w:val="99"/>
    <w:pPr>
      <w:jc w:val="left"/>
    </w:pPr>
  </w:style>
  <w:style w:type="paragraph" w:styleId="14">
    <w:name w:val="Body Text"/>
    <w:basedOn w:val="1"/>
    <w:next w:val="15"/>
    <w:link w:val="96"/>
    <w:autoRedefine/>
    <w:qFormat/>
    <w:uiPriority w:val="0"/>
    <w:pPr>
      <w:spacing w:after="120"/>
    </w:pPr>
  </w:style>
  <w:style w:type="paragraph" w:styleId="15">
    <w:name w:val="Title"/>
    <w:basedOn w:val="1"/>
    <w:next w:val="1"/>
    <w:link w:val="58"/>
    <w:autoRedefine/>
    <w:qFormat/>
    <w:uiPriority w:val="0"/>
    <w:pPr>
      <w:spacing w:before="240" w:after="60"/>
      <w:jc w:val="center"/>
      <w:outlineLvl w:val="0"/>
    </w:pPr>
    <w:rPr>
      <w:rFonts w:ascii="Arial" w:hAnsi="Arial" w:cs="Arial"/>
      <w:b/>
      <w:bCs/>
      <w:sz w:val="32"/>
      <w:szCs w:val="32"/>
    </w:rPr>
  </w:style>
  <w:style w:type="paragraph" w:styleId="16">
    <w:name w:val="toc 5"/>
    <w:basedOn w:val="1"/>
    <w:next w:val="1"/>
    <w:autoRedefine/>
    <w:unhideWhenUsed/>
    <w:qFormat/>
    <w:uiPriority w:val="39"/>
    <w:pPr>
      <w:ind w:left="839"/>
    </w:pPr>
    <w:rPr>
      <w:rFonts w:ascii="宋体"/>
    </w:rPr>
  </w:style>
  <w:style w:type="paragraph" w:styleId="17">
    <w:name w:val="toc 3"/>
    <w:basedOn w:val="1"/>
    <w:next w:val="1"/>
    <w:autoRedefine/>
    <w:unhideWhenUsed/>
    <w:qFormat/>
    <w:uiPriority w:val="39"/>
    <w:pPr>
      <w:spacing w:line="300" w:lineRule="exact"/>
      <w:ind w:left="420"/>
    </w:pPr>
    <w:rPr>
      <w:rFonts w:ascii="宋体"/>
    </w:rPr>
  </w:style>
  <w:style w:type="paragraph" w:styleId="18">
    <w:name w:val="Plain Text"/>
    <w:basedOn w:val="1"/>
    <w:link w:val="252"/>
    <w:autoRedefine/>
    <w:semiHidden/>
    <w:unhideWhenUsed/>
    <w:qFormat/>
    <w:uiPriority w:val="99"/>
    <w:pPr>
      <w:adjustRightInd/>
      <w:spacing w:line="240" w:lineRule="auto"/>
    </w:pPr>
    <w:rPr>
      <w:rFonts w:ascii="宋体" w:hAnsi="Courier New"/>
    </w:rPr>
  </w:style>
  <w:style w:type="paragraph" w:styleId="19">
    <w:name w:val="Balloon Text"/>
    <w:basedOn w:val="1"/>
    <w:link w:val="55"/>
    <w:autoRedefine/>
    <w:semiHidden/>
    <w:unhideWhenUsed/>
    <w:qFormat/>
    <w:uiPriority w:val="99"/>
    <w:rPr>
      <w:sz w:val="18"/>
      <w:szCs w:val="18"/>
    </w:rPr>
  </w:style>
  <w:style w:type="paragraph" w:styleId="20">
    <w:name w:val="footer"/>
    <w:basedOn w:val="1"/>
    <w:link w:val="5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21">
    <w:name w:val="header"/>
    <w:basedOn w:val="1"/>
    <w:link w:val="53"/>
    <w:autoRedefine/>
    <w:qFormat/>
    <w:uiPriority w:val="99"/>
    <w:pPr>
      <w:tabs>
        <w:tab w:val="center" w:pos="4153"/>
        <w:tab w:val="right" w:pos="8306"/>
      </w:tabs>
      <w:adjustRightInd/>
      <w:snapToGrid w:val="0"/>
      <w:jc w:val="center"/>
    </w:pPr>
    <w:rPr>
      <w:sz w:val="18"/>
      <w:szCs w:val="18"/>
    </w:rPr>
  </w:style>
  <w:style w:type="paragraph" w:styleId="22">
    <w:name w:val="toc 1"/>
    <w:basedOn w:val="1"/>
    <w:next w:val="1"/>
    <w:autoRedefine/>
    <w:unhideWhenUsed/>
    <w:qFormat/>
    <w:uiPriority w:val="39"/>
    <w:rPr>
      <w:rFonts w:ascii="宋体"/>
    </w:rPr>
  </w:style>
  <w:style w:type="paragraph" w:styleId="23">
    <w:name w:val="toc 4"/>
    <w:basedOn w:val="1"/>
    <w:next w:val="1"/>
    <w:autoRedefine/>
    <w:unhideWhenUsed/>
    <w:qFormat/>
    <w:uiPriority w:val="39"/>
    <w:pPr>
      <w:tabs>
        <w:tab w:val="right" w:leader="dot" w:pos="9344"/>
      </w:tabs>
      <w:spacing w:line="300" w:lineRule="exact"/>
      <w:ind w:left="629"/>
    </w:pPr>
    <w:rPr>
      <w:rFonts w:ascii="宋体"/>
    </w:rPr>
  </w:style>
  <w:style w:type="paragraph" w:styleId="24">
    <w:name w:val="footnote text"/>
    <w:basedOn w:val="1"/>
    <w:next w:val="1"/>
    <w:link w:val="10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5">
    <w:name w:val="toc 6"/>
    <w:basedOn w:val="1"/>
    <w:next w:val="1"/>
    <w:autoRedefine/>
    <w:unhideWhenUsed/>
    <w:qFormat/>
    <w:uiPriority w:val="39"/>
    <w:pPr>
      <w:spacing w:line="300" w:lineRule="exact"/>
      <w:ind w:left="1049"/>
    </w:pPr>
    <w:rPr>
      <w:rFonts w:ascii="宋体"/>
    </w:rPr>
  </w:style>
  <w:style w:type="paragraph" w:styleId="26">
    <w:name w:val="table of figures"/>
    <w:basedOn w:val="1"/>
    <w:next w:val="1"/>
    <w:autoRedefine/>
    <w:semiHidden/>
    <w:qFormat/>
    <w:uiPriority w:val="0"/>
    <w:pPr>
      <w:adjustRightInd/>
      <w:spacing w:line="240" w:lineRule="auto"/>
      <w:jc w:val="left"/>
    </w:pPr>
    <w:rPr>
      <w:szCs w:val="24"/>
    </w:rPr>
  </w:style>
  <w:style w:type="paragraph" w:styleId="27">
    <w:name w:val="toc 2"/>
    <w:basedOn w:val="1"/>
    <w:next w:val="1"/>
    <w:autoRedefine/>
    <w:unhideWhenUsed/>
    <w:qFormat/>
    <w:uiPriority w:val="39"/>
    <w:pPr>
      <w:tabs>
        <w:tab w:val="right" w:leader="dot" w:pos="9344"/>
      </w:tabs>
      <w:spacing w:line="300" w:lineRule="exact"/>
      <w:ind w:left="210"/>
    </w:pPr>
    <w:rPr>
      <w:rFonts w:ascii="宋体"/>
    </w:rPr>
  </w:style>
  <w:style w:type="paragraph" w:styleId="28">
    <w:name w:val="Normal (Web)"/>
    <w:basedOn w:val="1"/>
    <w:autoRedefine/>
    <w:unhideWhenUsed/>
    <w:qFormat/>
    <w:uiPriority w:val="99"/>
    <w:pPr>
      <w:adjustRightInd/>
      <w:spacing w:before="100" w:beforeAutospacing="1" w:after="100" w:afterAutospacing="1" w:line="240" w:lineRule="auto"/>
      <w:jc w:val="left"/>
    </w:pPr>
    <w:rPr>
      <w:kern w:val="0"/>
      <w:sz w:val="24"/>
      <w:szCs w:val="24"/>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22"/>
    <w:rPr>
      <w:b/>
      <w:bCs/>
    </w:rPr>
  </w:style>
  <w:style w:type="character" w:styleId="33">
    <w:name w:val="page number"/>
    <w:autoRedefine/>
    <w:qFormat/>
    <w:uiPriority w:val="0"/>
    <w:rPr>
      <w:rFonts w:ascii="宋体" w:hAnsi="Times New Roman" w:eastAsia="宋体"/>
      <w:sz w:val="18"/>
    </w:rPr>
  </w:style>
  <w:style w:type="character" w:styleId="34">
    <w:name w:val="Emphasis"/>
    <w:autoRedefine/>
    <w:qFormat/>
    <w:uiPriority w:val="20"/>
    <w:rPr>
      <w:i/>
      <w:iCs/>
    </w:rPr>
  </w:style>
  <w:style w:type="character" w:styleId="35">
    <w:name w:val="Hyperlink"/>
    <w:autoRedefine/>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autoRedefine/>
    <w:semiHidden/>
    <w:unhideWhenUsed/>
    <w:qFormat/>
    <w:uiPriority w:val="99"/>
    <w:rPr>
      <w:sz w:val="21"/>
      <w:szCs w:val="21"/>
    </w:rPr>
  </w:style>
  <w:style w:type="character" w:styleId="37">
    <w:name w:val="footnote reference"/>
    <w:autoRedefine/>
    <w:semiHidden/>
    <w:qFormat/>
    <w:uiPriority w:val="0"/>
    <w:rPr>
      <w:rFonts w:ascii="宋体" w:hAnsi="宋体" w:eastAsia="宋体" w:cs="Times New Roman"/>
      <w:spacing w:val="0"/>
      <w:sz w:val="18"/>
      <w:vertAlign w:val="superscript"/>
    </w:rPr>
  </w:style>
  <w:style w:type="paragraph" w:customStyle="1" w:styleId="38">
    <w:name w:val="正文文本首行缩进 21"/>
    <w:basedOn w:val="39"/>
    <w:autoRedefine/>
    <w:qFormat/>
    <w:uiPriority w:val="0"/>
    <w:pPr>
      <w:spacing w:line="360" w:lineRule="auto"/>
    </w:pPr>
    <w:rPr>
      <w:sz w:val="24"/>
    </w:rPr>
  </w:style>
  <w:style w:type="paragraph" w:customStyle="1" w:styleId="39">
    <w:name w:val="正文文本缩进1"/>
    <w:basedOn w:val="1"/>
    <w:autoRedefine/>
    <w:qFormat/>
    <w:uiPriority w:val="0"/>
    <w:pPr>
      <w:spacing w:line="150" w:lineRule="atLeast"/>
      <w:ind w:firstLine="420" w:firstLineChars="200"/>
      <w:textAlignment w:val="baseline"/>
    </w:pPr>
    <w:rPr>
      <w:sz w:val="30"/>
      <w:szCs w:val="24"/>
    </w:rPr>
  </w:style>
  <w:style w:type="paragraph" w:customStyle="1" w:styleId="40">
    <w:name w:val="正文文本首行缩进 2111"/>
    <w:basedOn w:val="41"/>
    <w:autoRedefine/>
    <w:qFormat/>
    <w:uiPriority w:val="0"/>
    <w:pPr>
      <w:spacing w:line="360" w:lineRule="auto"/>
    </w:pPr>
    <w:rPr>
      <w:sz w:val="24"/>
    </w:rPr>
  </w:style>
  <w:style w:type="paragraph" w:customStyle="1" w:styleId="41">
    <w:name w:val="正文文本缩进111"/>
    <w:basedOn w:val="1"/>
    <w:autoRedefine/>
    <w:qFormat/>
    <w:uiPriority w:val="0"/>
    <w:pPr>
      <w:spacing w:line="150" w:lineRule="atLeast"/>
      <w:ind w:firstLine="420" w:firstLineChars="200"/>
      <w:textAlignment w:val="baseline"/>
    </w:pPr>
    <w:rPr>
      <w:sz w:val="30"/>
      <w:szCs w:val="24"/>
    </w:rPr>
  </w:style>
  <w:style w:type="paragraph" w:customStyle="1" w:styleId="42">
    <w:name w:val="正文文本首行缩进 211"/>
    <w:basedOn w:val="43"/>
    <w:autoRedefine/>
    <w:qFormat/>
    <w:uiPriority w:val="0"/>
    <w:pPr>
      <w:spacing w:line="360" w:lineRule="auto"/>
    </w:pPr>
    <w:rPr>
      <w:sz w:val="24"/>
    </w:rPr>
  </w:style>
  <w:style w:type="paragraph" w:customStyle="1" w:styleId="43">
    <w:name w:val="正文文本缩进11"/>
    <w:basedOn w:val="1"/>
    <w:autoRedefine/>
    <w:qFormat/>
    <w:uiPriority w:val="0"/>
    <w:pPr>
      <w:spacing w:line="150" w:lineRule="atLeast"/>
      <w:ind w:firstLine="420" w:firstLineChars="200"/>
      <w:textAlignment w:val="baseline"/>
    </w:pPr>
  </w:style>
  <w:style w:type="character" w:customStyle="1" w:styleId="44">
    <w:name w:val="标题 1 字符"/>
    <w:link w:val="2"/>
    <w:autoRedefine/>
    <w:qFormat/>
    <w:uiPriority w:val="0"/>
    <w:rPr>
      <w:b/>
      <w:bCs/>
      <w:kern w:val="44"/>
      <w:sz w:val="44"/>
      <w:szCs w:val="44"/>
    </w:rPr>
  </w:style>
  <w:style w:type="character" w:customStyle="1" w:styleId="45">
    <w:name w:val="标题 2 字符"/>
    <w:link w:val="3"/>
    <w:autoRedefine/>
    <w:qFormat/>
    <w:uiPriority w:val="0"/>
    <w:rPr>
      <w:rFonts w:ascii="Arial" w:hAnsi="Arial" w:eastAsia="黑体"/>
      <w:b/>
      <w:bCs/>
      <w:kern w:val="2"/>
      <w:sz w:val="32"/>
      <w:szCs w:val="32"/>
    </w:rPr>
  </w:style>
  <w:style w:type="character" w:customStyle="1" w:styleId="46">
    <w:name w:val="标题 3 字符"/>
    <w:link w:val="4"/>
    <w:autoRedefine/>
    <w:qFormat/>
    <w:uiPriority w:val="0"/>
    <w:rPr>
      <w:b/>
      <w:bCs/>
      <w:kern w:val="2"/>
      <w:sz w:val="32"/>
      <w:szCs w:val="32"/>
    </w:rPr>
  </w:style>
  <w:style w:type="character" w:customStyle="1" w:styleId="47">
    <w:name w:val="标题 4 字符"/>
    <w:link w:val="5"/>
    <w:autoRedefine/>
    <w:qFormat/>
    <w:uiPriority w:val="0"/>
    <w:rPr>
      <w:rFonts w:ascii="Arial" w:hAnsi="Arial" w:eastAsia="黑体"/>
      <w:b/>
      <w:bCs/>
      <w:kern w:val="2"/>
      <w:sz w:val="28"/>
      <w:szCs w:val="28"/>
    </w:rPr>
  </w:style>
  <w:style w:type="character" w:customStyle="1" w:styleId="48">
    <w:name w:val="标题 5 字符"/>
    <w:link w:val="6"/>
    <w:autoRedefine/>
    <w:qFormat/>
    <w:uiPriority w:val="0"/>
    <w:rPr>
      <w:b/>
      <w:bCs/>
      <w:kern w:val="2"/>
      <w:sz w:val="28"/>
      <w:szCs w:val="28"/>
    </w:rPr>
  </w:style>
  <w:style w:type="character" w:customStyle="1" w:styleId="49">
    <w:name w:val="标题 6 字符"/>
    <w:link w:val="7"/>
    <w:autoRedefine/>
    <w:qFormat/>
    <w:uiPriority w:val="0"/>
    <w:rPr>
      <w:rFonts w:ascii="Arial" w:hAnsi="Arial" w:eastAsia="黑体"/>
      <w:b/>
      <w:bCs/>
      <w:kern w:val="2"/>
      <w:sz w:val="24"/>
      <w:szCs w:val="24"/>
    </w:rPr>
  </w:style>
  <w:style w:type="character" w:customStyle="1" w:styleId="50">
    <w:name w:val="标题 7 字符"/>
    <w:link w:val="8"/>
    <w:autoRedefine/>
    <w:qFormat/>
    <w:uiPriority w:val="0"/>
    <w:rPr>
      <w:b/>
      <w:bCs/>
      <w:kern w:val="2"/>
      <w:sz w:val="24"/>
      <w:szCs w:val="24"/>
    </w:rPr>
  </w:style>
  <w:style w:type="character" w:customStyle="1" w:styleId="51">
    <w:name w:val="标题 8 字符"/>
    <w:link w:val="9"/>
    <w:autoRedefine/>
    <w:qFormat/>
    <w:uiPriority w:val="0"/>
    <w:rPr>
      <w:rFonts w:ascii="Arial" w:hAnsi="Arial" w:eastAsia="黑体"/>
      <w:kern w:val="2"/>
      <w:sz w:val="24"/>
      <w:szCs w:val="24"/>
    </w:rPr>
  </w:style>
  <w:style w:type="character" w:customStyle="1" w:styleId="52">
    <w:name w:val="标题 9 字符"/>
    <w:link w:val="10"/>
    <w:autoRedefine/>
    <w:qFormat/>
    <w:uiPriority w:val="0"/>
    <w:rPr>
      <w:rFonts w:ascii="Arial" w:hAnsi="Arial" w:eastAsia="黑体"/>
      <w:kern w:val="2"/>
      <w:sz w:val="21"/>
      <w:szCs w:val="21"/>
    </w:rPr>
  </w:style>
  <w:style w:type="character" w:customStyle="1" w:styleId="53">
    <w:name w:val="页眉 字符"/>
    <w:link w:val="21"/>
    <w:autoRedefine/>
    <w:qFormat/>
    <w:uiPriority w:val="99"/>
    <w:rPr>
      <w:kern w:val="2"/>
      <w:sz w:val="18"/>
      <w:szCs w:val="18"/>
    </w:rPr>
  </w:style>
  <w:style w:type="character" w:customStyle="1" w:styleId="54">
    <w:name w:val="页脚 字符"/>
    <w:link w:val="20"/>
    <w:autoRedefine/>
    <w:qFormat/>
    <w:uiPriority w:val="99"/>
    <w:rPr>
      <w:rFonts w:ascii="宋体"/>
      <w:kern w:val="2"/>
      <w:sz w:val="18"/>
      <w:szCs w:val="18"/>
    </w:rPr>
  </w:style>
  <w:style w:type="character" w:customStyle="1" w:styleId="55">
    <w:name w:val="批注框文本 字符"/>
    <w:link w:val="19"/>
    <w:autoRedefine/>
    <w:semiHidden/>
    <w:qFormat/>
    <w:uiPriority w:val="99"/>
    <w:rPr>
      <w:kern w:val="2"/>
      <w:sz w:val="18"/>
      <w:szCs w:val="18"/>
    </w:rPr>
  </w:style>
  <w:style w:type="paragraph" w:styleId="56">
    <w:name w:val="Quote"/>
    <w:basedOn w:val="1"/>
    <w:next w:val="1"/>
    <w:link w:val="57"/>
    <w:autoRedefine/>
    <w:qFormat/>
    <w:uiPriority w:val="29"/>
    <w:rPr>
      <w:i/>
      <w:iCs/>
      <w:color w:val="000000"/>
    </w:rPr>
  </w:style>
  <w:style w:type="character" w:customStyle="1" w:styleId="57">
    <w:name w:val="引用 字符"/>
    <w:link w:val="56"/>
    <w:autoRedefine/>
    <w:qFormat/>
    <w:uiPriority w:val="29"/>
    <w:rPr>
      <w:i/>
      <w:iCs/>
      <w:color w:val="000000"/>
      <w:kern w:val="2"/>
      <w:sz w:val="21"/>
      <w:szCs w:val="21"/>
    </w:rPr>
  </w:style>
  <w:style w:type="character" w:customStyle="1" w:styleId="58">
    <w:name w:val="标题 字符"/>
    <w:link w:val="15"/>
    <w:autoRedefine/>
    <w:qFormat/>
    <w:uiPriority w:val="0"/>
    <w:rPr>
      <w:rFonts w:ascii="Arial" w:hAnsi="Arial" w:cs="Arial"/>
      <w:b/>
      <w:bCs/>
      <w:kern w:val="2"/>
      <w:sz w:val="32"/>
      <w:szCs w:val="32"/>
    </w:rPr>
  </w:style>
  <w:style w:type="paragraph" w:customStyle="1" w:styleId="5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6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63">
    <w:name w:val="标准书眉一"/>
    <w:autoRedefine/>
    <w:qFormat/>
    <w:uiPriority w:val="0"/>
    <w:pPr>
      <w:jc w:val="both"/>
    </w:pPr>
    <w:rPr>
      <w:rFonts w:ascii="Times New Roman" w:hAnsi="Times New Roman" w:eastAsia="宋体" w:cs="Times New Roman"/>
      <w:lang w:val="en-US" w:eastAsia="zh-CN" w:bidi="ar-SA"/>
    </w:rPr>
  </w:style>
  <w:style w:type="paragraph" w:customStyle="1" w:styleId="64">
    <w:name w:val="标准文件_ICS"/>
    <w:basedOn w:val="1"/>
    <w:autoRedefine/>
    <w:qFormat/>
    <w:uiPriority w:val="0"/>
    <w:pPr>
      <w:spacing w:line="0" w:lineRule="atLeast"/>
    </w:pPr>
    <w:rPr>
      <w:rFonts w:ascii="黑体" w:hAnsi="宋体" w:eastAsia="黑体"/>
    </w:rPr>
  </w:style>
  <w:style w:type="paragraph" w:customStyle="1" w:styleId="65">
    <w:name w:val="标准文件_标准正文"/>
    <w:basedOn w:val="1"/>
    <w:next w:val="66"/>
    <w:autoRedefine/>
    <w:qFormat/>
    <w:uiPriority w:val="0"/>
    <w:pPr>
      <w:snapToGrid w:val="0"/>
      <w:ind w:firstLine="200" w:firstLineChars="200"/>
    </w:pPr>
    <w:rPr>
      <w:kern w:val="0"/>
    </w:rPr>
  </w:style>
  <w:style w:type="paragraph" w:customStyle="1" w:styleId="66">
    <w:name w:val="标准文件_段"/>
    <w:link w:val="19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7">
    <w:name w:val="标准文件_版本"/>
    <w:basedOn w:val="65"/>
    <w:autoRedefine/>
    <w:qFormat/>
    <w:uiPriority w:val="0"/>
    <w:pPr>
      <w:adjustRightInd/>
      <w:snapToGrid/>
      <w:ind w:firstLine="0" w:firstLineChars="0"/>
    </w:pPr>
    <w:rPr>
      <w:rFonts w:ascii="宋体" w:hAnsi="宋体"/>
      <w:kern w:val="2"/>
    </w:rPr>
  </w:style>
  <w:style w:type="paragraph" w:customStyle="1" w:styleId="68">
    <w:name w:val="标准文件_标准部门"/>
    <w:basedOn w:val="1"/>
    <w:autoRedefine/>
    <w:qFormat/>
    <w:uiPriority w:val="0"/>
    <w:pPr>
      <w:jc w:val="center"/>
    </w:pPr>
    <w:rPr>
      <w:rFonts w:ascii="黑体" w:eastAsia="黑体"/>
      <w:kern w:val="0"/>
      <w:sz w:val="44"/>
    </w:rPr>
  </w:style>
  <w:style w:type="paragraph" w:customStyle="1" w:styleId="69">
    <w:name w:val="标准文件_标准代替"/>
    <w:basedOn w:val="1"/>
    <w:next w:val="1"/>
    <w:autoRedefine/>
    <w:qFormat/>
    <w:uiPriority w:val="0"/>
    <w:pPr>
      <w:spacing w:line="310" w:lineRule="exact"/>
      <w:jc w:val="right"/>
    </w:pPr>
    <w:rPr>
      <w:rFonts w:ascii="宋体" w:hAnsi="宋体"/>
      <w:kern w:val="0"/>
    </w:rPr>
  </w:style>
  <w:style w:type="paragraph" w:customStyle="1" w:styleId="7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7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2">
    <w:name w:val="标准文件_页眉偶数页"/>
    <w:basedOn w:val="71"/>
    <w:next w:val="1"/>
    <w:autoRedefine/>
    <w:qFormat/>
    <w:uiPriority w:val="0"/>
    <w:pPr>
      <w:jc w:val="left"/>
    </w:pPr>
  </w:style>
  <w:style w:type="paragraph" w:customStyle="1" w:styleId="73">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7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75">
    <w:name w:val="标准文件_二级条标题"/>
    <w:next w:val="66"/>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6">
    <w:name w:val="标准文件_发布"/>
    <w:autoRedefine/>
    <w:qFormat/>
    <w:uiPriority w:val="0"/>
    <w:rPr>
      <w:rFonts w:ascii="黑体" w:eastAsia="黑体"/>
      <w:spacing w:val="0"/>
      <w:w w:val="100"/>
      <w:position w:val="3"/>
      <w:sz w:val="28"/>
    </w:rPr>
  </w:style>
  <w:style w:type="paragraph" w:customStyle="1" w:styleId="77">
    <w:name w:val="标准文件_方框数字列项"/>
    <w:basedOn w:val="66"/>
    <w:autoRedefine/>
    <w:qFormat/>
    <w:uiPriority w:val="0"/>
    <w:pPr>
      <w:numPr>
        <w:ilvl w:val="0"/>
        <w:numId w:val="3"/>
      </w:numPr>
      <w:ind w:firstLine="0" w:firstLineChars="0"/>
    </w:pPr>
  </w:style>
  <w:style w:type="paragraph" w:customStyle="1" w:styleId="78">
    <w:name w:val="标准文件_封面标准编号"/>
    <w:basedOn w:val="1"/>
    <w:next w:val="69"/>
    <w:autoRedefine/>
    <w:qFormat/>
    <w:uiPriority w:val="0"/>
    <w:pPr>
      <w:spacing w:line="310" w:lineRule="exact"/>
      <w:jc w:val="right"/>
    </w:pPr>
    <w:rPr>
      <w:rFonts w:ascii="黑体" w:eastAsia="黑体"/>
      <w:kern w:val="0"/>
      <w:sz w:val="28"/>
    </w:rPr>
  </w:style>
  <w:style w:type="paragraph" w:customStyle="1" w:styleId="79">
    <w:name w:val="标准文件_封面标准分类号"/>
    <w:basedOn w:val="1"/>
    <w:autoRedefine/>
    <w:qFormat/>
    <w:uiPriority w:val="0"/>
    <w:rPr>
      <w:rFonts w:ascii="黑体" w:eastAsia="黑体"/>
      <w:b/>
      <w:kern w:val="0"/>
      <w:sz w:val="28"/>
    </w:rPr>
  </w:style>
  <w:style w:type="paragraph" w:customStyle="1" w:styleId="80">
    <w:name w:val="标准文件_封面标准名称"/>
    <w:basedOn w:val="1"/>
    <w:autoRedefine/>
    <w:qFormat/>
    <w:uiPriority w:val="0"/>
    <w:pPr>
      <w:spacing w:line="240" w:lineRule="auto"/>
      <w:jc w:val="center"/>
    </w:pPr>
    <w:rPr>
      <w:rFonts w:ascii="黑体" w:eastAsia="黑体"/>
      <w:kern w:val="0"/>
      <w:sz w:val="52"/>
    </w:rPr>
  </w:style>
  <w:style w:type="paragraph" w:customStyle="1" w:styleId="81">
    <w:name w:val="标准文件_封面标准英文名称"/>
    <w:basedOn w:val="1"/>
    <w:autoRedefine/>
    <w:qFormat/>
    <w:uiPriority w:val="0"/>
    <w:pPr>
      <w:spacing w:line="240" w:lineRule="auto"/>
      <w:jc w:val="center"/>
    </w:pPr>
    <w:rPr>
      <w:rFonts w:ascii="黑体" w:eastAsia="黑体"/>
      <w:b/>
      <w:sz w:val="28"/>
    </w:rPr>
  </w:style>
  <w:style w:type="paragraph" w:customStyle="1" w:styleId="82">
    <w:name w:val="标准文件_封面发布日期"/>
    <w:basedOn w:val="1"/>
    <w:autoRedefine/>
    <w:qFormat/>
    <w:uiPriority w:val="0"/>
    <w:pPr>
      <w:spacing w:line="310" w:lineRule="exact"/>
    </w:pPr>
    <w:rPr>
      <w:rFonts w:ascii="黑体" w:eastAsia="黑体"/>
      <w:kern w:val="0"/>
      <w:sz w:val="28"/>
    </w:rPr>
  </w:style>
  <w:style w:type="paragraph" w:customStyle="1" w:styleId="83">
    <w:name w:val="标准文件_封面密级"/>
    <w:basedOn w:val="1"/>
    <w:autoRedefine/>
    <w:qFormat/>
    <w:uiPriority w:val="0"/>
    <w:rPr>
      <w:rFonts w:eastAsia="黑体"/>
      <w:sz w:val="32"/>
    </w:rPr>
  </w:style>
  <w:style w:type="paragraph" w:customStyle="1" w:styleId="84">
    <w:name w:val="标准文件_封面实施日期"/>
    <w:basedOn w:val="1"/>
    <w:autoRedefine/>
    <w:qFormat/>
    <w:uiPriority w:val="0"/>
    <w:pPr>
      <w:spacing w:line="310" w:lineRule="exact"/>
      <w:jc w:val="right"/>
    </w:pPr>
    <w:rPr>
      <w:rFonts w:ascii="黑体" w:eastAsia="黑体"/>
      <w:sz w:val="28"/>
    </w:rPr>
  </w:style>
  <w:style w:type="paragraph" w:customStyle="1" w:styleId="85">
    <w:name w:val="标准文件_封面抬头"/>
    <w:basedOn w:val="66"/>
    <w:autoRedefine/>
    <w:qFormat/>
    <w:uiPriority w:val="0"/>
    <w:pPr>
      <w:adjustRightInd w:val="0"/>
      <w:spacing w:line="800" w:lineRule="exact"/>
      <w:ind w:firstLine="0" w:firstLineChars="0"/>
      <w:jc w:val="distribute"/>
    </w:pPr>
    <w:rPr>
      <w:rFonts w:ascii="黑体" w:eastAsia="黑体"/>
      <w:b/>
      <w:sz w:val="64"/>
    </w:rPr>
  </w:style>
  <w:style w:type="paragraph" w:customStyle="1" w:styleId="86">
    <w:name w:val="标准文件_附录标识"/>
    <w:next w:val="66"/>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7">
    <w:name w:val="标准文件_附录表标题"/>
    <w:next w:val="66"/>
    <w:autoRedefine/>
    <w:qFormat/>
    <w:uiPriority w:val="0"/>
    <w:pPr>
      <w:adjustRightInd w:val="0"/>
      <w:snapToGrid w:val="0"/>
      <w:spacing w:before="156" w:beforeLines="50" w:after="156" w:afterLines="50"/>
      <w:jc w:val="center"/>
      <w:textAlignment w:val="baseline"/>
    </w:pPr>
    <w:rPr>
      <w:rFonts w:ascii="黑体" w:hAnsi="Times New Roman" w:eastAsia="黑体" w:cs="Times New Roman"/>
      <w:kern w:val="21"/>
      <w:sz w:val="21"/>
      <w:lang w:val="en-US" w:eastAsia="zh-CN" w:bidi="ar-SA"/>
    </w:rPr>
  </w:style>
  <w:style w:type="paragraph" w:customStyle="1" w:styleId="88">
    <w:name w:val="标准文件_附录一级条标题"/>
    <w:next w:val="6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9">
    <w:name w:val="标准文件_附录二级条标题"/>
    <w:basedOn w:val="88"/>
    <w:next w:val="66"/>
    <w:autoRedefine/>
    <w:qFormat/>
    <w:uiPriority w:val="0"/>
    <w:pPr>
      <w:widowControl/>
      <w:numPr>
        <w:ilvl w:val="2"/>
      </w:numPr>
      <w:wordWrap w:val="0"/>
      <w:overflowPunct w:val="0"/>
      <w:autoSpaceDE w:val="0"/>
      <w:autoSpaceDN w:val="0"/>
      <w:textAlignment w:val="baseline"/>
      <w:outlineLvl w:val="3"/>
    </w:pPr>
  </w:style>
  <w:style w:type="paragraph" w:customStyle="1" w:styleId="90">
    <w:name w:val="标准文件_附录公式"/>
    <w:basedOn w:val="65"/>
    <w:next w:val="6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1">
    <w:name w:val="标准文件_附录三级条标题"/>
    <w:next w:val="6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92">
    <w:name w:val="标准文件_附录四级条标题"/>
    <w:next w:val="6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3">
    <w:name w:val="标准文件_附录图标题"/>
    <w:next w:val="66"/>
    <w:autoRedefine/>
    <w:qFormat/>
    <w:uiPriority w:val="0"/>
    <w:pPr>
      <w:numPr>
        <w:ilvl w:val="1"/>
        <w:numId w:val="5"/>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94">
    <w:name w:val="标准文件_附录五级条标题"/>
    <w:next w:val="6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5">
    <w:name w:val="标准文件_附录英文标识"/>
    <w:next w:val="14"/>
    <w:autoRedefine/>
    <w:qFormat/>
    <w:uiPriority w:val="0"/>
    <w:pPr>
      <w:numPr>
        <w:ilvl w:val="0"/>
        <w:numId w:val="6"/>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6">
    <w:name w:val="正文文本 字符"/>
    <w:link w:val="14"/>
    <w:autoRedefine/>
    <w:qFormat/>
    <w:uiPriority w:val="0"/>
    <w:rPr>
      <w:kern w:val="2"/>
      <w:sz w:val="21"/>
      <w:szCs w:val="21"/>
    </w:rPr>
  </w:style>
  <w:style w:type="paragraph" w:customStyle="1" w:styleId="97">
    <w:name w:val="标准文件_附录章标题"/>
    <w:next w:val="6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8">
    <w:name w:val="标准文件_公式后的破折号"/>
    <w:basedOn w:val="66"/>
    <w:next w:val="66"/>
    <w:autoRedefine/>
    <w:qFormat/>
    <w:uiPriority w:val="0"/>
    <w:pPr>
      <w:ind w:left="488" w:leftChars="200" w:hanging="289" w:hangingChars="290"/>
    </w:pPr>
  </w:style>
  <w:style w:type="paragraph" w:customStyle="1" w:styleId="99">
    <w:name w:val="标准文件_前言、引言标题"/>
    <w:next w:val="1"/>
    <w:autoRedefine/>
    <w:qFormat/>
    <w:uiPriority w:val="0"/>
    <w:pPr>
      <w:numPr>
        <w:ilvl w:val="0"/>
        <w:numId w:val="7"/>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100">
    <w:name w:val="标准文件_目次、标准名称标题"/>
    <w:basedOn w:val="99"/>
    <w:next w:val="66"/>
    <w:autoRedefine/>
    <w:qFormat/>
    <w:uiPriority w:val="0"/>
    <w:pPr>
      <w:spacing w:line="460" w:lineRule="exact"/>
      <w:ind w:left="0" w:firstLine="0"/>
    </w:pPr>
  </w:style>
  <w:style w:type="paragraph" w:customStyle="1" w:styleId="101">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102">
    <w:name w:val="标准文件_破折号列项"/>
    <w:autoRedefine/>
    <w:qFormat/>
    <w:uiPriority w:val="0"/>
    <w:pPr>
      <w:numPr>
        <w:ilvl w:val="0"/>
        <w:numId w:val="8"/>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103">
    <w:name w:val="标准文件_破折号列项（二级）"/>
    <w:basedOn w:val="102"/>
    <w:autoRedefine/>
    <w:qFormat/>
    <w:uiPriority w:val="0"/>
    <w:pPr>
      <w:numPr>
        <w:numId w:val="9"/>
      </w:numPr>
    </w:pPr>
  </w:style>
  <w:style w:type="paragraph" w:customStyle="1" w:styleId="104">
    <w:name w:val="标准文件_三级条标题"/>
    <w:basedOn w:val="75"/>
    <w:next w:val="66"/>
    <w:autoRedefine/>
    <w:qFormat/>
    <w:uiPriority w:val="0"/>
    <w:pPr>
      <w:widowControl/>
      <w:numPr>
        <w:ilvl w:val="4"/>
      </w:numPr>
      <w:outlineLvl w:val="3"/>
    </w:pPr>
  </w:style>
  <w:style w:type="character" w:customStyle="1" w:styleId="105">
    <w:name w:val="不明显参考1"/>
    <w:autoRedefine/>
    <w:qFormat/>
    <w:uiPriority w:val="31"/>
    <w:rPr>
      <w:smallCaps/>
      <w:color w:val="C0504D"/>
      <w:u w:val="single"/>
    </w:rPr>
  </w:style>
  <w:style w:type="paragraph" w:customStyle="1" w:styleId="106">
    <w:name w:val="标准文件_示例后续"/>
    <w:basedOn w:val="1"/>
    <w:autoRedefine/>
    <w:qFormat/>
    <w:uiPriority w:val="0"/>
    <w:pPr>
      <w:adjustRightInd/>
      <w:spacing w:line="240" w:lineRule="auto"/>
      <w:ind w:firstLine="200" w:firstLineChars="200"/>
    </w:pPr>
    <w:rPr>
      <w:sz w:val="18"/>
      <w:szCs w:val="24"/>
    </w:rPr>
  </w:style>
  <w:style w:type="paragraph" w:customStyle="1" w:styleId="107">
    <w:name w:val="标准文件_数字编号列项"/>
    <w:autoRedefine/>
    <w:qFormat/>
    <w:uiPriority w:val="0"/>
    <w:pPr>
      <w:numPr>
        <w:ilvl w:val="0"/>
        <w:numId w:val="10"/>
      </w:numPr>
      <w:jc w:val="both"/>
    </w:pPr>
    <w:rPr>
      <w:rFonts w:ascii="宋体" w:hAnsi="宋体" w:eastAsia="宋体" w:cs="Times New Roman"/>
      <w:sz w:val="21"/>
      <w:lang w:val="en-US" w:eastAsia="zh-CN" w:bidi="ar-SA"/>
    </w:rPr>
  </w:style>
  <w:style w:type="paragraph" w:customStyle="1" w:styleId="108">
    <w:name w:val="标准文件_四级条标题"/>
    <w:next w:val="6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9">
    <w:name w:val="脚注文本 字符"/>
    <w:link w:val="24"/>
    <w:autoRedefine/>
    <w:semiHidden/>
    <w:qFormat/>
    <w:uiPriority w:val="0"/>
    <w:rPr>
      <w:rFonts w:ascii="宋体"/>
      <w:kern w:val="2"/>
      <w:sz w:val="18"/>
      <w:szCs w:val="18"/>
    </w:rPr>
  </w:style>
  <w:style w:type="paragraph" w:customStyle="1" w:styleId="110">
    <w:name w:val="标准文件_条文脚注"/>
    <w:basedOn w:val="24"/>
    <w:autoRedefine/>
    <w:qFormat/>
    <w:uiPriority w:val="0"/>
    <w:pPr>
      <w:adjustRightInd w:val="0"/>
      <w:spacing w:line="240" w:lineRule="auto"/>
      <w:ind w:left="0" w:leftChars="0" w:firstLine="200" w:firstLineChars="200"/>
      <w:jc w:val="both"/>
    </w:pPr>
    <w:rPr>
      <w:rFonts w:hAnsi="宋体"/>
    </w:rPr>
  </w:style>
  <w:style w:type="paragraph" w:customStyle="1" w:styleId="111">
    <w:name w:val="标准文件_图表脚注"/>
    <w:basedOn w:val="1"/>
    <w:next w:val="66"/>
    <w:autoRedefine/>
    <w:qFormat/>
    <w:uiPriority w:val="0"/>
    <w:pPr>
      <w:numPr>
        <w:ilvl w:val="0"/>
        <w:numId w:val="11"/>
      </w:numPr>
      <w:spacing w:line="240" w:lineRule="auto"/>
      <w:jc w:val="left"/>
    </w:pPr>
    <w:rPr>
      <w:rFonts w:ascii="宋体" w:hAnsi="宋体"/>
      <w:sz w:val="18"/>
    </w:rPr>
  </w:style>
  <w:style w:type="character" w:customStyle="1" w:styleId="112">
    <w:name w:val="标准文件_图表脚注内容"/>
    <w:autoRedefine/>
    <w:qFormat/>
    <w:uiPriority w:val="0"/>
    <w:rPr>
      <w:rFonts w:ascii="宋体" w:hAnsi="宋体" w:eastAsia="宋体" w:cs="Times New Roman"/>
      <w:spacing w:val="0"/>
      <w:sz w:val="18"/>
      <w:vertAlign w:val="superscript"/>
    </w:rPr>
  </w:style>
  <w:style w:type="paragraph" w:customStyle="1" w:styleId="113">
    <w:name w:val="标准文件_五级条标题"/>
    <w:next w:val="6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4">
    <w:name w:val="标准文件_章标题"/>
    <w:next w:val="66"/>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5">
    <w:name w:val="标准文件_一级条标题"/>
    <w:basedOn w:val="114"/>
    <w:next w:val="66"/>
    <w:autoRedefine/>
    <w:qFormat/>
    <w:uiPriority w:val="0"/>
    <w:pPr>
      <w:numPr>
        <w:ilvl w:val="2"/>
      </w:numPr>
      <w:spacing w:before="50" w:beforeLines="50" w:after="50" w:afterLines="50"/>
      <w:outlineLvl w:val="1"/>
    </w:pPr>
  </w:style>
  <w:style w:type="paragraph" w:customStyle="1" w:styleId="116">
    <w:name w:val="标准文件_一致程度"/>
    <w:basedOn w:val="1"/>
    <w:autoRedefine/>
    <w:qFormat/>
    <w:uiPriority w:val="0"/>
    <w:pPr>
      <w:spacing w:line="440" w:lineRule="exact"/>
      <w:jc w:val="center"/>
    </w:pPr>
    <w:rPr>
      <w:sz w:val="28"/>
    </w:rPr>
  </w:style>
  <w:style w:type="paragraph" w:customStyle="1" w:styleId="11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8">
    <w:name w:val="标准文件_英文图表脚注"/>
    <w:basedOn w:val="65"/>
    <w:autoRedefine/>
    <w:qFormat/>
    <w:uiPriority w:val="0"/>
    <w:pPr>
      <w:widowControl/>
      <w:adjustRightInd/>
      <w:snapToGrid/>
      <w:spacing w:line="240" w:lineRule="auto"/>
      <w:ind w:left="79" w:hanging="79" w:hangingChars="80"/>
    </w:pPr>
    <w:rPr>
      <w:rFonts w:ascii="宋体" w:hAnsi="宋体"/>
    </w:rPr>
  </w:style>
  <w:style w:type="paragraph" w:customStyle="1" w:styleId="119">
    <w:name w:val="标准文件_数字编号列项（二级）"/>
    <w:autoRedefine/>
    <w:qFormat/>
    <w:uiPriority w:val="0"/>
    <w:pPr>
      <w:numPr>
        <w:ilvl w:val="1"/>
        <w:numId w:val="12"/>
      </w:numPr>
      <w:tabs>
        <w:tab w:val="left" w:pos="851"/>
      </w:tabs>
      <w:jc w:val="both"/>
    </w:pPr>
    <w:rPr>
      <w:rFonts w:ascii="宋体" w:hAnsi="Times New Roman" w:eastAsia="宋体" w:cs="Times New Roman"/>
      <w:sz w:val="21"/>
      <w:lang w:val="en-US" w:eastAsia="zh-CN" w:bidi="ar-SA"/>
    </w:rPr>
  </w:style>
  <w:style w:type="paragraph" w:customStyle="1" w:styleId="120">
    <w:name w:val="标准文件_英文注："/>
    <w:basedOn w:val="1"/>
    <w:next w:val="66"/>
    <w:autoRedefine/>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21">
    <w:name w:val="标准文件_英文注×："/>
    <w:basedOn w:val="1"/>
    <w:autoRedefine/>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22">
    <w:name w:val="标准文件_正文表标题"/>
    <w:next w:val="66"/>
    <w:autoRedefine/>
    <w:qFormat/>
    <w:uiPriority w:val="0"/>
    <w:pPr>
      <w:numPr>
        <w:ilvl w:val="0"/>
        <w:numId w:val="15"/>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23">
    <w:name w:val="标准文件_正文公式"/>
    <w:basedOn w:val="1"/>
    <w:next w:val="65"/>
    <w:autoRedefine/>
    <w:qFormat/>
    <w:uiPriority w:val="0"/>
    <w:pPr>
      <w:tabs>
        <w:tab w:val="center" w:pos="4678"/>
        <w:tab w:val="right" w:leader="middleDot" w:pos="9356"/>
      </w:tabs>
      <w:spacing w:line="240" w:lineRule="auto"/>
    </w:pPr>
    <w:rPr>
      <w:rFonts w:ascii="宋体" w:hAnsi="宋体"/>
    </w:rPr>
  </w:style>
  <w:style w:type="paragraph" w:customStyle="1" w:styleId="124">
    <w:name w:val="标准文件_正文图标题"/>
    <w:next w:val="66"/>
    <w:autoRedefine/>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25">
    <w:name w:val="标准文件_正文英文表标题"/>
    <w:next w:val="66"/>
    <w:autoRedefine/>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26">
    <w:name w:val="标准文件_正文英文图标题"/>
    <w:next w:val="6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7">
    <w:name w:val="标准文件_编号列项（三级）"/>
    <w:autoRedefine/>
    <w:qFormat/>
    <w:uiPriority w:val="0"/>
    <w:pPr>
      <w:numPr>
        <w:ilvl w:val="2"/>
        <w:numId w:val="12"/>
      </w:numPr>
      <w:tabs>
        <w:tab w:val="left" w:pos="851"/>
      </w:tabs>
    </w:pPr>
    <w:rPr>
      <w:rFonts w:ascii="宋体" w:hAnsi="Times New Roman" w:eastAsia="宋体" w:cs="Times New Roman"/>
      <w:sz w:val="21"/>
      <w:lang w:val="en-US" w:eastAsia="zh-CN" w:bidi="ar-SA"/>
    </w:rPr>
  </w:style>
  <w:style w:type="paragraph" w:customStyle="1" w:styleId="128">
    <w:name w:val="二级无标题条"/>
    <w:basedOn w:val="1"/>
    <w:autoRedefine/>
    <w:qFormat/>
    <w:uiPriority w:val="0"/>
    <w:pPr>
      <w:numPr>
        <w:ilvl w:val="3"/>
        <w:numId w:val="19"/>
      </w:numPr>
      <w:adjustRightInd/>
      <w:spacing w:line="240" w:lineRule="auto"/>
    </w:pPr>
    <w:rPr>
      <w:rFonts w:ascii="宋体" w:hAnsi="宋体"/>
      <w:szCs w:val="24"/>
    </w:rPr>
  </w:style>
  <w:style w:type="paragraph" w:customStyle="1" w:styleId="129">
    <w:name w:val="发布部门"/>
    <w:next w:val="6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3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7">
    <w:name w:val="封面正文"/>
    <w:autoRedefine/>
    <w:qFormat/>
    <w:uiPriority w:val="0"/>
    <w:pPr>
      <w:jc w:val="both"/>
    </w:pPr>
    <w:rPr>
      <w:rFonts w:ascii="Times New Roman" w:hAnsi="Times New Roman" w:eastAsia="宋体" w:cs="Times New Roman"/>
      <w:lang w:val="en-US" w:eastAsia="zh-CN" w:bidi="ar-SA"/>
    </w:rPr>
  </w:style>
  <w:style w:type="paragraph" w:customStyle="1" w:styleId="138">
    <w:name w:val="附录二级无标题条"/>
    <w:basedOn w:val="1"/>
    <w:next w:val="6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9">
    <w:name w:val="附录三级无标题条"/>
    <w:basedOn w:val="138"/>
    <w:next w:val="66"/>
    <w:autoRedefine/>
    <w:qFormat/>
    <w:uiPriority w:val="0"/>
    <w:pPr>
      <w:outlineLvl w:val="4"/>
    </w:pPr>
  </w:style>
  <w:style w:type="paragraph" w:customStyle="1" w:styleId="140">
    <w:name w:val="附录四级无标题条"/>
    <w:basedOn w:val="139"/>
    <w:next w:val="66"/>
    <w:autoRedefine/>
    <w:qFormat/>
    <w:uiPriority w:val="0"/>
    <w:pPr>
      <w:outlineLvl w:val="5"/>
    </w:pPr>
  </w:style>
  <w:style w:type="paragraph" w:customStyle="1" w:styleId="141">
    <w:name w:val="附录图"/>
    <w:next w:val="6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2">
    <w:name w:val="标准文件_一级项"/>
    <w:autoRedefine/>
    <w:qFormat/>
    <w:uiPriority w:val="0"/>
    <w:pPr>
      <w:tabs>
        <w:tab w:val="left" w:pos="851"/>
      </w:tabs>
      <w:ind w:left="851" w:hanging="426"/>
    </w:pPr>
    <w:rPr>
      <w:rFonts w:ascii="宋体" w:hAnsi="Times New Roman" w:eastAsia="宋体" w:cs="Times New Roman"/>
      <w:sz w:val="21"/>
      <w:lang w:val="en-US" w:eastAsia="zh-CN" w:bidi="ar-SA"/>
    </w:rPr>
  </w:style>
  <w:style w:type="paragraph" w:customStyle="1" w:styleId="143">
    <w:name w:val="附录五级无标题条"/>
    <w:basedOn w:val="140"/>
    <w:next w:val="66"/>
    <w:autoRedefine/>
    <w:qFormat/>
    <w:uiPriority w:val="0"/>
    <w:pPr>
      <w:outlineLvl w:val="6"/>
    </w:pPr>
  </w:style>
  <w:style w:type="paragraph" w:customStyle="1" w:styleId="144">
    <w:name w:val="附录性质"/>
    <w:basedOn w:val="1"/>
    <w:autoRedefine/>
    <w:qFormat/>
    <w:uiPriority w:val="0"/>
    <w:pPr>
      <w:widowControl/>
      <w:adjustRightInd/>
      <w:jc w:val="center"/>
    </w:pPr>
    <w:rPr>
      <w:rFonts w:ascii="黑体" w:eastAsia="黑体"/>
    </w:rPr>
  </w:style>
  <w:style w:type="paragraph" w:customStyle="1" w:styleId="145">
    <w:name w:val="附录一级无标题条"/>
    <w:basedOn w:val="97"/>
    <w:next w:val="66"/>
    <w:autoRedefine/>
    <w:qFormat/>
    <w:uiPriority w:val="0"/>
    <w:pPr>
      <w:autoSpaceDN w:val="0"/>
      <w:outlineLvl w:val="2"/>
    </w:pPr>
    <w:rPr>
      <w:rFonts w:ascii="宋体" w:hAnsi="宋体" w:eastAsia="宋体"/>
    </w:rPr>
  </w:style>
  <w:style w:type="character" w:customStyle="1" w:styleId="146">
    <w:name w:val="个人答复风格"/>
    <w:autoRedefine/>
    <w:qFormat/>
    <w:uiPriority w:val="0"/>
    <w:rPr>
      <w:rFonts w:ascii="Arial" w:hAnsi="Arial" w:eastAsia="宋体" w:cs="Arial"/>
      <w:color w:val="auto"/>
      <w:spacing w:val="0"/>
      <w:sz w:val="20"/>
    </w:rPr>
  </w:style>
  <w:style w:type="character" w:customStyle="1" w:styleId="147">
    <w:name w:val="个人撰写风格"/>
    <w:autoRedefine/>
    <w:qFormat/>
    <w:uiPriority w:val="0"/>
    <w:rPr>
      <w:rFonts w:ascii="Arial" w:hAnsi="Arial" w:eastAsia="宋体" w:cs="Arial"/>
      <w:color w:val="auto"/>
      <w:spacing w:val="0"/>
      <w:sz w:val="20"/>
    </w:rPr>
  </w:style>
  <w:style w:type="paragraph" w:customStyle="1" w:styleId="14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9">
    <w:name w:val="列项——"/>
    <w:autoRedefine/>
    <w:qFormat/>
    <w:uiPriority w:val="0"/>
    <w:pPr>
      <w:widowControl w:val="0"/>
      <w:numPr>
        <w:ilvl w:val="0"/>
        <w:numId w:val="20"/>
      </w:numPr>
      <w:jc w:val="both"/>
    </w:pPr>
    <w:rPr>
      <w:rFonts w:ascii="宋体" w:hAnsi="宋体" w:eastAsia="宋体" w:cs="Times New Roman"/>
      <w:sz w:val="21"/>
      <w:lang w:val="en-US" w:eastAsia="zh-CN" w:bidi="ar-SA"/>
    </w:rPr>
  </w:style>
  <w:style w:type="paragraph" w:customStyle="1" w:styleId="150">
    <w:name w:val="列项·"/>
    <w:basedOn w:val="66"/>
    <w:autoRedefine/>
    <w:qFormat/>
    <w:uiPriority w:val="0"/>
    <w:pPr>
      <w:tabs>
        <w:tab w:val="left" w:pos="840"/>
      </w:tabs>
    </w:pPr>
  </w:style>
  <w:style w:type="paragraph" w:customStyle="1" w:styleId="15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52">
    <w:name w:val="目录 21"/>
    <w:basedOn w:val="1"/>
    <w:next w:val="1"/>
    <w:autoRedefine/>
    <w:semiHidden/>
    <w:qFormat/>
    <w:uiPriority w:val="0"/>
    <w:pPr>
      <w:adjustRightInd/>
      <w:spacing w:line="240" w:lineRule="auto"/>
      <w:jc w:val="left"/>
    </w:pPr>
    <w:rPr>
      <w:bCs/>
      <w:iCs/>
    </w:rPr>
  </w:style>
  <w:style w:type="paragraph" w:customStyle="1" w:styleId="153">
    <w:name w:val="目录 31"/>
    <w:basedOn w:val="1"/>
    <w:next w:val="1"/>
    <w:autoRedefine/>
    <w:semiHidden/>
    <w:qFormat/>
    <w:uiPriority w:val="0"/>
    <w:pPr>
      <w:spacing w:line="240" w:lineRule="auto"/>
    </w:pPr>
    <w:rPr>
      <w:rFonts w:ascii="宋体" w:hAnsi="宋体"/>
      <w:iCs/>
    </w:rPr>
  </w:style>
  <w:style w:type="paragraph" w:customStyle="1" w:styleId="154">
    <w:name w:val="目录 41"/>
    <w:basedOn w:val="1"/>
    <w:next w:val="1"/>
    <w:autoRedefine/>
    <w:semiHidden/>
    <w:qFormat/>
    <w:uiPriority w:val="0"/>
    <w:pPr>
      <w:adjustRightInd/>
      <w:spacing w:line="240" w:lineRule="auto"/>
      <w:jc w:val="left"/>
    </w:pPr>
  </w:style>
  <w:style w:type="paragraph" w:customStyle="1" w:styleId="155">
    <w:name w:val="目录 51"/>
    <w:basedOn w:val="1"/>
    <w:next w:val="1"/>
    <w:autoRedefine/>
    <w:semiHidden/>
    <w:qFormat/>
    <w:uiPriority w:val="0"/>
    <w:pPr>
      <w:spacing w:line="240" w:lineRule="auto"/>
    </w:pPr>
    <w:rPr>
      <w:rFonts w:ascii="宋体" w:hAnsi="宋体"/>
    </w:rPr>
  </w:style>
  <w:style w:type="paragraph" w:customStyle="1" w:styleId="156">
    <w:name w:val="目录 61"/>
    <w:basedOn w:val="1"/>
    <w:next w:val="1"/>
    <w:autoRedefine/>
    <w:semiHidden/>
    <w:qFormat/>
    <w:uiPriority w:val="0"/>
    <w:pPr>
      <w:adjustRightInd/>
      <w:spacing w:line="240" w:lineRule="auto"/>
      <w:jc w:val="left"/>
    </w:pPr>
  </w:style>
  <w:style w:type="paragraph" w:customStyle="1" w:styleId="157">
    <w:name w:val="目录 71"/>
    <w:basedOn w:val="156"/>
    <w:autoRedefine/>
    <w:semiHidden/>
    <w:qFormat/>
    <w:uiPriority w:val="0"/>
    <w:pPr>
      <w:ind w:left="1260"/>
    </w:pPr>
  </w:style>
  <w:style w:type="paragraph" w:customStyle="1" w:styleId="158">
    <w:name w:val="目录 81"/>
    <w:basedOn w:val="157"/>
    <w:autoRedefine/>
    <w:semiHidden/>
    <w:qFormat/>
    <w:uiPriority w:val="0"/>
    <w:pPr>
      <w:ind w:left="1470"/>
    </w:pPr>
  </w:style>
  <w:style w:type="paragraph" w:customStyle="1" w:styleId="159">
    <w:name w:val="目录 91"/>
    <w:basedOn w:val="158"/>
    <w:autoRedefine/>
    <w:semiHidden/>
    <w:qFormat/>
    <w:uiPriority w:val="0"/>
    <w:pPr>
      <w:ind w:left="1680"/>
    </w:pPr>
  </w:style>
  <w:style w:type="paragraph" w:customStyle="1" w:styleId="16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61">
    <w:name w:val="其他发布部门"/>
    <w:basedOn w:val="129"/>
    <w:autoRedefine/>
    <w:qFormat/>
    <w:uiPriority w:val="0"/>
    <w:pPr>
      <w:framePr w:wrap="around"/>
      <w:spacing w:line="0" w:lineRule="atLeast"/>
    </w:pPr>
    <w:rPr>
      <w:rFonts w:ascii="黑体" w:eastAsia="黑体"/>
      <w:b w:val="0"/>
    </w:rPr>
  </w:style>
  <w:style w:type="paragraph" w:customStyle="1" w:styleId="16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3">
    <w:name w:val="三级无标题条"/>
    <w:basedOn w:val="1"/>
    <w:autoRedefine/>
    <w:qFormat/>
    <w:uiPriority w:val="0"/>
    <w:pPr>
      <w:numPr>
        <w:ilvl w:val="4"/>
        <w:numId w:val="19"/>
      </w:numPr>
      <w:adjustRightInd/>
      <w:spacing w:line="240" w:lineRule="auto"/>
    </w:pPr>
    <w:rPr>
      <w:rFonts w:ascii="宋体" w:hAnsi="宋体"/>
      <w:szCs w:val="24"/>
    </w:rPr>
  </w:style>
  <w:style w:type="paragraph" w:customStyle="1" w:styleId="164">
    <w:name w:val="实施日期"/>
    <w:basedOn w:val="130"/>
    <w:autoRedefine/>
    <w:qFormat/>
    <w:uiPriority w:val="0"/>
    <w:pPr>
      <w:framePr w:hSpace="0" w:wrap="around" w:xAlign="right"/>
      <w:jc w:val="right"/>
    </w:pPr>
  </w:style>
  <w:style w:type="paragraph" w:customStyle="1" w:styleId="165">
    <w:name w:val="四级无标题条"/>
    <w:basedOn w:val="1"/>
    <w:autoRedefine/>
    <w:qFormat/>
    <w:uiPriority w:val="0"/>
    <w:pPr>
      <w:numPr>
        <w:ilvl w:val="5"/>
        <w:numId w:val="19"/>
      </w:numPr>
      <w:adjustRightInd/>
      <w:spacing w:line="240" w:lineRule="auto"/>
    </w:pPr>
    <w:rPr>
      <w:rFonts w:ascii="宋体" w:hAnsi="宋体"/>
      <w:szCs w:val="24"/>
    </w:rPr>
  </w:style>
  <w:style w:type="paragraph" w:customStyle="1" w:styleId="16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7">
    <w:name w:val="无标题条"/>
    <w:next w:val="66"/>
    <w:autoRedefine/>
    <w:qFormat/>
    <w:uiPriority w:val="0"/>
    <w:pPr>
      <w:jc w:val="both"/>
    </w:pPr>
    <w:rPr>
      <w:rFonts w:ascii="宋体" w:hAnsi="宋体" w:eastAsia="宋体" w:cs="Times New Roman"/>
      <w:sz w:val="21"/>
      <w:lang w:val="en-US" w:eastAsia="zh-CN" w:bidi="ar-SA"/>
    </w:rPr>
  </w:style>
  <w:style w:type="paragraph" w:customStyle="1" w:styleId="168">
    <w:name w:val="五级无标题条"/>
    <w:basedOn w:val="1"/>
    <w:autoRedefine/>
    <w:qFormat/>
    <w:uiPriority w:val="0"/>
    <w:pPr>
      <w:numPr>
        <w:ilvl w:val="6"/>
        <w:numId w:val="19"/>
      </w:numPr>
      <w:adjustRightInd/>
    </w:pPr>
    <w:rPr>
      <w:szCs w:val="24"/>
    </w:rPr>
  </w:style>
  <w:style w:type="paragraph" w:customStyle="1" w:styleId="169">
    <w:name w:val="一级无标题条"/>
    <w:basedOn w:val="1"/>
    <w:autoRedefine/>
    <w:qFormat/>
    <w:uiPriority w:val="0"/>
    <w:pPr>
      <w:numPr>
        <w:ilvl w:val="2"/>
        <w:numId w:val="19"/>
      </w:numPr>
      <w:adjustRightInd/>
      <w:spacing w:before="10" w:after="10" w:line="240" w:lineRule="auto"/>
    </w:pPr>
    <w:rPr>
      <w:rFonts w:ascii="宋体" w:hAnsi="宋体"/>
      <w:szCs w:val="24"/>
    </w:rPr>
  </w:style>
  <w:style w:type="paragraph" w:customStyle="1" w:styleId="17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71">
    <w:name w:val="注×:后续"/>
    <w:basedOn w:val="170"/>
    <w:autoRedefine/>
    <w:qFormat/>
    <w:uiPriority w:val="0"/>
    <w:pPr>
      <w:ind w:left="1406" w:leftChars="0" w:hanging="499" w:firstLineChars="0"/>
    </w:pPr>
  </w:style>
  <w:style w:type="paragraph" w:customStyle="1" w:styleId="172">
    <w:name w:val="标准文件_一级无标题"/>
    <w:basedOn w:val="115"/>
    <w:autoRedefine/>
    <w:qFormat/>
    <w:uiPriority w:val="0"/>
    <w:pPr>
      <w:spacing w:before="0" w:beforeLines="0" w:after="0" w:afterLines="0"/>
      <w:outlineLvl w:val="9"/>
    </w:pPr>
    <w:rPr>
      <w:rFonts w:ascii="宋体" w:eastAsia="宋体"/>
    </w:rPr>
  </w:style>
  <w:style w:type="paragraph" w:customStyle="1" w:styleId="173">
    <w:name w:val="标准文件_五级无标题"/>
    <w:basedOn w:val="113"/>
    <w:autoRedefine/>
    <w:qFormat/>
    <w:uiPriority w:val="0"/>
    <w:pPr>
      <w:spacing w:before="0" w:beforeLines="0" w:after="0" w:afterLines="0"/>
      <w:outlineLvl w:val="9"/>
    </w:pPr>
    <w:rPr>
      <w:rFonts w:ascii="宋体" w:eastAsia="宋体"/>
    </w:rPr>
  </w:style>
  <w:style w:type="paragraph" w:customStyle="1" w:styleId="174">
    <w:name w:val="标准文件_三级无标题"/>
    <w:basedOn w:val="104"/>
    <w:autoRedefine/>
    <w:qFormat/>
    <w:uiPriority w:val="0"/>
    <w:pPr>
      <w:spacing w:before="0" w:beforeLines="0" w:after="0" w:afterLines="0"/>
      <w:outlineLvl w:val="9"/>
    </w:pPr>
    <w:rPr>
      <w:rFonts w:ascii="宋体" w:eastAsia="宋体"/>
    </w:rPr>
  </w:style>
  <w:style w:type="paragraph" w:customStyle="1" w:styleId="175">
    <w:name w:val="标准文件_二级无标题"/>
    <w:basedOn w:val="75"/>
    <w:autoRedefine/>
    <w:qFormat/>
    <w:uiPriority w:val="0"/>
    <w:pPr>
      <w:spacing w:before="0" w:beforeLines="0" w:after="0" w:afterLines="0"/>
      <w:outlineLvl w:val="9"/>
    </w:pPr>
    <w:rPr>
      <w:rFonts w:ascii="宋体" w:eastAsia="宋体"/>
    </w:rPr>
  </w:style>
  <w:style w:type="paragraph" w:customStyle="1" w:styleId="176">
    <w:name w:val="标准_四级无标题"/>
    <w:basedOn w:val="108"/>
    <w:next w:val="66"/>
    <w:autoRedefine/>
    <w:qFormat/>
    <w:uiPriority w:val="0"/>
    <w:rPr>
      <w:rFonts w:eastAsia="宋体"/>
    </w:rPr>
  </w:style>
  <w:style w:type="paragraph" w:customStyle="1" w:styleId="177">
    <w:name w:val="标准文件_四级无标题"/>
    <w:basedOn w:val="108"/>
    <w:autoRedefine/>
    <w:qFormat/>
    <w:uiPriority w:val="0"/>
    <w:pPr>
      <w:spacing w:before="0" w:beforeLines="0" w:after="0" w:afterLines="0"/>
      <w:outlineLvl w:val="9"/>
    </w:pPr>
    <w:rPr>
      <w:rFonts w:ascii="宋体" w:hAnsi="黑体" w:eastAsia="宋体"/>
      <w:szCs w:val="52"/>
    </w:rPr>
  </w:style>
  <w:style w:type="paragraph" w:customStyle="1" w:styleId="178">
    <w:name w:val="标准文件_大写罗马数字编号列项"/>
    <w:basedOn w:val="66"/>
    <w:autoRedefine/>
    <w:qFormat/>
    <w:uiPriority w:val="0"/>
    <w:pPr>
      <w:numPr>
        <w:ilvl w:val="0"/>
        <w:numId w:val="21"/>
      </w:numPr>
      <w:ind w:firstLine="0" w:firstLineChars="0"/>
    </w:pPr>
    <w:rPr>
      <w:rFonts w:ascii="Times New Roman" w:cs="Arial"/>
      <w:szCs w:val="28"/>
    </w:rPr>
  </w:style>
  <w:style w:type="paragraph" w:customStyle="1" w:styleId="179">
    <w:name w:val="标准文件_小写罗马数字编号列项"/>
    <w:basedOn w:val="66"/>
    <w:autoRedefine/>
    <w:qFormat/>
    <w:uiPriority w:val="0"/>
    <w:pPr>
      <w:numPr>
        <w:ilvl w:val="0"/>
        <w:numId w:val="22"/>
      </w:numPr>
      <w:ind w:firstLine="0" w:firstLineChars="0"/>
    </w:pPr>
    <w:rPr>
      <w:rFonts w:cs="Arial"/>
      <w:szCs w:val="28"/>
    </w:rPr>
  </w:style>
  <w:style w:type="paragraph" w:customStyle="1" w:styleId="180">
    <w:name w:val="标准文件_附录标题"/>
    <w:basedOn w:val="86"/>
    <w:autoRedefine/>
    <w:qFormat/>
    <w:uiPriority w:val="0"/>
    <w:pPr>
      <w:numPr>
        <w:numId w:val="0"/>
      </w:numPr>
      <w:spacing w:after="280"/>
      <w:outlineLvl w:val="9"/>
    </w:pPr>
  </w:style>
  <w:style w:type="paragraph" w:customStyle="1" w:styleId="181">
    <w:name w:val="标准文件_二级项"/>
    <w:autoRedefine/>
    <w:qFormat/>
    <w:uiPriority w:val="0"/>
    <w:rPr>
      <w:rFonts w:ascii="宋体" w:hAnsi="Times New Roman" w:eastAsia="宋体" w:cs="Times New Roman"/>
      <w:sz w:val="21"/>
      <w:lang w:val="en-US" w:eastAsia="zh-CN" w:bidi="ar-SA"/>
    </w:rPr>
  </w:style>
  <w:style w:type="paragraph" w:customStyle="1" w:styleId="182">
    <w:name w:val="标准文件_三级项"/>
    <w:basedOn w:val="1"/>
    <w:autoRedefine/>
    <w:qFormat/>
    <w:uiPriority w:val="0"/>
    <w:pPr>
      <w:numPr>
        <w:ilvl w:val="2"/>
        <w:numId w:val="23"/>
      </w:numPr>
      <w:spacing w:line="536870612" w:lineRule="auto"/>
    </w:pPr>
    <w:rPr>
      <w:rFonts w:ascii="Times New Roman" w:hAnsi="Times New Roman"/>
    </w:rPr>
  </w:style>
  <w:style w:type="paragraph" w:customStyle="1" w:styleId="183">
    <w:name w:val="图表脚注说明"/>
    <w:basedOn w:val="1"/>
    <w:next w:val="66"/>
    <w:autoRedefine/>
    <w:qFormat/>
    <w:uiPriority w:val="0"/>
    <w:pPr>
      <w:numPr>
        <w:ilvl w:val="0"/>
        <w:numId w:val="24"/>
      </w:numPr>
      <w:adjustRightInd/>
      <w:spacing w:line="240" w:lineRule="auto"/>
    </w:pPr>
    <w:rPr>
      <w:rFonts w:ascii="宋体" w:hAnsi="Times New Roman"/>
      <w:sz w:val="18"/>
      <w:szCs w:val="18"/>
    </w:rPr>
  </w:style>
  <w:style w:type="paragraph" w:customStyle="1" w:styleId="184">
    <w:name w:val="标准文件_字母编号列项（一级）"/>
    <w:autoRedefine/>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85">
    <w:name w:val="标准文件_索引字母"/>
    <w:next w:val="66"/>
    <w:autoRedefine/>
    <w:qFormat/>
    <w:uiPriority w:val="0"/>
    <w:pPr>
      <w:jc w:val="center"/>
    </w:pPr>
    <w:rPr>
      <w:rFonts w:ascii="宋体" w:hAnsi="宋体" w:eastAsia="Times New Roman" w:cs="Times New Roman"/>
      <w:b/>
      <w:kern w:val="2"/>
      <w:sz w:val="21"/>
      <w:lang w:val="en-US" w:eastAsia="zh-CN" w:bidi="ar-SA"/>
    </w:rPr>
  </w:style>
  <w:style w:type="paragraph" w:customStyle="1" w:styleId="186">
    <w:name w:val="标准文件_附录前"/>
    <w:next w:val="6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7">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8">
    <w:name w:val="标准文件_表格"/>
    <w:basedOn w:val="66"/>
    <w:autoRedefine/>
    <w:qFormat/>
    <w:uiPriority w:val="0"/>
    <w:pPr>
      <w:ind w:firstLine="0" w:firstLineChars="0"/>
      <w:jc w:val="center"/>
    </w:pPr>
    <w:rPr>
      <w:sz w:val="18"/>
    </w:rPr>
  </w:style>
  <w:style w:type="paragraph" w:customStyle="1" w:styleId="189">
    <w:name w:val="标准文件_注："/>
    <w:next w:val="66"/>
    <w:autoRedefine/>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90">
    <w:name w:val="标准文件_注×："/>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91">
    <w:name w:val="标准文件_示例："/>
    <w:next w:val="192"/>
    <w:autoRedefine/>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92">
    <w:name w:val="标准文件_示例内容"/>
    <w:basedOn w:val="66"/>
    <w:autoRedefine/>
    <w:qFormat/>
    <w:uiPriority w:val="0"/>
    <w:pPr>
      <w:ind w:firstLine="420"/>
    </w:pPr>
    <w:rPr>
      <w:sz w:val="18"/>
    </w:rPr>
  </w:style>
  <w:style w:type="paragraph" w:customStyle="1" w:styleId="193">
    <w:name w:val="标准文件_示例×："/>
    <w:basedOn w:val="1"/>
    <w:next w:val="192"/>
    <w:autoRedefine/>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94">
    <w:name w:val="标准文件_段 Char"/>
    <w:link w:val="66"/>
    <w:autoRedefine/>
    <w:qFormat/>
    <w:uiPriority w:val="0"/>
    <w:rPr>
      <w:rFonts w:ascii="宋体" w:hAnsi="Times New Roman"/>
      <w:sz w:val="21"/>
    </w:rPr>
  </w:style>
  <w:style w:type="paragraph" w:customStyle="1" w:styleId="195">
    <w:name w:val="标准文件_表格续"/>
    <w:basedOn w:val="66"/>
    <w:next w:val="66"/>
    <w:autoRedefine/>
    <w:qFormat/>
    <w:uiPriority w:val="0"/>
    <w:pPr>
      <w:jc w:val="center"/>
    </w:pPr>
    <w:rPr>
      <w:rFonts w:ascii="黑体" w:hAnsi="黑体" w:eastAsia="黑体"/>
    </w:rPr>
  </w:style>
  <w:style w:type="character" w:styleId="196">
    <w:name w:val="Placeholder Text"/>
    <w:basedOn w:val="31"/>
    <w:autoRedefine/>
    <w:semiHidden/>
    <w:qFormat/>
    <w:uiPriority w:val="99"/>
    <w:rPr>
      <w:color w:val="808080"/>
    </w:rPr>
  </w:style>
  <w:style w:type="paragraph" w:customStyle="1" w:styleId="197">
    <w:name w:val="标准文件_二级项2"/>
    <w:basedOn w:val="66"/>
    <w:autoRedefine/>
    <w:qFormat/>
    <w:uiPriority w:val="0"/>
    <w:pPr>
      <w:numPr>
        <w:ilvl w:val="1"/>
        <w:numId w:val="23"/>
      </w:numPr>
      <w:ind w:firstLine="0" w:firstLineChars="0"/>
    </w:pPr>
  </w:style>
  <w:style w:type="paragraph" w:customStyle="1" w:styleId="198">
    <w:name w:val="标准文件_三级项2"/>
    <w:basedOn w:val="66"/>
    <w:autoRedefine/>
    <w:qFormat/>
    <w:uiPriority w:val="0"/>
    <w:pPr>
      <w:numPr>
        <w:ilvl w:val="0"/>
        <w:numId w:val="29"/>
      </w:numPr>
      <w:spacing w:line="300" w:lineRule="exact"/>
      <w:ind w:firstLineChars="0"/>
    </w:pPr>
    <w:rPr>
      <w:rFonts w:ascii="Times New Roman"/>
    </w:rPr>
  </w:style>
  <w:style w:type="paragraph" w:customStyle="1" w:styleId="199">
    <w:name w:val="标准文件_一级项2"/>
    <w:basedOn w:val="66"/>
    <w:autoRedefine/>
    <w:qFormat/>
    <w:uiPriority w:val="0"/>
    <w:pPr>
      <w:numPr>
        <w:ilvl w:val="0"/>
        <w:numId w:val="30"/>
      </w:numPr>
      <w:spacing w:line="300" w:lineRule="exact"/>
      <w:ind w:firstLineChars="0"/>
    </w:pPr>
    <w:rPr>
      <w:rFonts w:ascii="Times New Roman"/>
    </w:rPr>
  </w:style>
  <w:style w:type="paragraph" w:customStyle="1" w:styleId="200">
    <w:name w:val="标准文件_提示"/>
    <w:basedOn w:val="66"/>
    <w:next w:val="66"/>
    <w:autoRedefine/>
    <w:qFormat/>
    <w:uiPriority w:val="0"/>
    <w:pPr>
      <w:ind w:firstLine="420"/>
    </w:pPr>
    <w:rPr>
      <w:rFonts w:ascii="黑体" w:eastAsia="黑体"/>
    </w:rPr>
  </w:style>
  <w:style w:type="character" w:customStyle="1" w:styleId="201">
    <w:name w:val="标准文件_来源"/>
    <w:basedOn w:val="31"/>
    <w:autoRedefine/>
    <w:qFormat/>
    <w:uiPriority w:val="1"/>
    <w:rPr>
      <w:rFonts w:eastAsia="宋体"/>
      <w:sz w:val="21"/>
    </w:rPr>
  </w:style>
  <w:style w:type="paragraph" w:customStyle="1" w:styleId="20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3">
    <w:name w:val="其他发布日期"/>
    <w:basedOn w:val="130"/>
    <w:autoRedefine/>
    <w:qFormat/>
    <w:uiPriority w:val="0"/>
    <w:pPr>
      <w:framePr w:w="3997" w:h="471" w:hRule="exact" w:hSpace="0" w:vSpace="181" w:wrap="around" w:vAnchor="page" w:hAnchor="page" w:x="1419" w:y="14097"/>
    </w:pPr>
  </w:style>
  <w:style w:type="paragraph" w:customStyle="1" w:styleId="204">
    <w:name w:val="其他实施日期"/>
    <w:basedOn w:val="164"/>
    <w:autoRedefine/>
    <w:qFormat/>
    <w:uiPriority w:val="0"/>
    <w:pPr>
      <w:framePr w:w="3997" w:h="471" w:hRule="exact" w:vSpace="181" w:wrap="around" w:vAnchor="page" w:hAnchor="page" w:x="7089" w:y="14097"/>
    </w:pPr>
  </w:style>
  <w:style w:type="paragraph" w:customStyle="1" w:styleId="205">
    <w:name w:val="标准文件_文件编号"/>
    <w:basedOn w:val="6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6">
    <w:name w:val="标准文件_替换文件编号"/>
    <w:basedOn w:val="205"/>
    <w:autoRedefine/>
    <w:qFormat/>
    <w:uiPriority w:val="0"/>
    <w:pPr>
      <w:spacing w:before="57"/>
    </w:pPr>
    <w:rPr>
      <w:sz w:val="21"/>
    </w:rPr>
  </w:style>
  <w:style w:type="paragraph" w:customStyle="1" w:styleId="207">
    <w:name w:val="标准文件_文件名称"/>
    <w:basedOn w:val="66"/>
    <w:next w:val="66"/>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8">
    <w:name w:val="标准文件_附录图标号"/>
    <w:basedOn w:val="66"/>
    <w:next w:val="66"/>
    <w:autoRedefine/>
    <w:qFormat/>
    <w:uiPriority w:val="0"/>
    <w:pPr>
      <w:numPr>
        <w:ilvl w:val="0"/>
        <w:numId w:val="5"/>
      </w:numPr>
      <w:spacing w:line="14" w:lineRule="exact"/>
      <w:ind w:firstLine="0" w:firstLineChars="0"/>
      <w:jc w:val="center"/>
    </w:pPr>
    <w:rPr>
      <w:rFonts w:ascii="黑体" w:hAnsi="黑体" w:eastAsia="黑体"/>
      <w:vanish/>
      <w:sz w:val="2"/>
      <w:szCs w:val="21"/>
    </w:rPr>
  </w:style>
  <w:style w:type="paragraph" w:customStyle="1" w:styleId="209">
    <w:name w:val="标准文件_附录表标号"/>
    <w:basedOn w:val="66"/>
    <w:next w:val="66"/>
    <w:autoRedefine/>
    <w:qFormat/>
    <w:uiPriority w:val="0"/>
    <w:pPr>
      <w:numPr>
        <w:ilvl w:val="0"/>
        <w:numId w:val="31"/>
      </w:numPr>
      <w:spacing w:line="14" w:lineRule="exact"/>
      <w:ind w:firstLine="0" w:firstLineChars="0"/>
      <w:jc w:val="center"/>
    </w:pPr>
    <w:rPr>
      <w:rFonts w:eastAsia="黑体"/>
      <w:vanish/>
      <w:sz w:val="2"/>
    </w:rPr>
  </w:style>
  <w:style w:type="paragraph" w:customStyle="1" w:styleId="210">
    <w:name w:val="标准文件_引言一级条标题"/>
    <w:basedOn w:val="66"/>
    <w:next w:val="66"/>
    <w:autoRedefine/>
    <w:qFormat/>
    <w:uiPriority w:val="0"/>
    <w:pPr>
      <w:numPr>
        <w:ilvl w:val="1"/>
        <w:numId w:val="7"/>
      </w:numPr>
      <w:spacing w:before="50" w:beforeLines="50" w:after="50" w:afterLines="50"/>
      <w:ind w:firstLineChars="0"/>
    </w:pPr>
    <w:rPr>
      <w:rFonts w:ascii="黑体" w:eastAsia="黑体"/>
    </w:rPr>
  </w:style>
  <w:style w:type="paragraph" w:customStyle="1" w:styleId="211">
    <w:name w:val="标准文件_引言二级条标题"/>
    <w:basedOn w:val="66"/>
    <w:next w:val="66"/>
    <w:autoRedefine/>
    <w:qFormat/>
    <w:uiPriority w:val="0"/>
    <w:pPr>
      <w:numPr>
        <w:ilvl w:val="2"/>
        <w:numId w:val="7"/>
      </w:numPr>
      <w:spacing w:before="50" w:beforeLines="50" w:after="50" w:afterLines="50"/>
      <w:ind w:firstLineChars="0"/>
    </w:pPr>
    <w:rPr>
      <w:rFonts w:ascii="黑体" w:eastAsia="黑体"/>
    </w:rPr>
  </w:style>
  <w:style w:type="paragraph" w:customStyle="1" w:styleId="212">
    <w:name w:val="标准文件_引言三级条标题"/>
    <w:basedOn w:val="66"/>
    <w:next w:val="66"/>
    <w:autoRedefine/>
    <w:qFormat/>
    <w:uiPriority w:val="0"/>
    <w:pPr>
      <w:numPr>
        <w:ilvl w:val="3"/>
        <w:numId w:val="7"/>
      </w:numPr>
      <w:spacing w:before="50" w:beforeLines="50" w:after="50" w:afterLines="50"/>
      <w:ind w:firstLineChars="0"/>
    </w:pPr>
    <w:rPr>
      <w:rFonts w:ascii="黑体" w:eastAsia="黑体"/>
    </w:rPr>
  </w:style>
  <w:style w:type="paragraph" w:customStyle="1" w:styleId="213">
    <w:name w:val="标准文件_引言四级条标题"/>
    <w:basedOn w:val="66"/>
    <w:next w:val="66"/>
    <w:autoRedefine/>
    <w:qFormat/>
    <w:uiPriority w:val="0"/>
    <w:pPr>
      <w:numPr>
        <w:ilvl w:val="4"/>
        <w:numId w:val="7"/>
      </w:numPr>
      <w:spacing w:before="50" w:beforeLines="50" w:after="50" w:afterLines="50"/>
      <w:ind w:firstLineChars="0"/>
    </w:pPr>
    <w:rPr>
      <w:rFonts w:ascii="黑体" w:eastAsia="黑体"/>
    </w:rPr>
  </w:style>
  <w:style w:type="paragraph" w:customStyle="1" w:styleId="214">
    <w:name w:val="标准文件_引言五级条标题"/>
    <w:basedOn w:val="66"/>
    <w:next w:val="66"/>
    <w:autoRedefine/>
    <w:qFormat/>
    <w:uiPriority w:val="0"/>
    <w:pPr>
      <w:numPr>
        <w:ilvl w:val="5"/>
        <w:numId w:val="7"/>
      </w:numPr>
      <w:spacing w:before="50" w:beforeLines="50" w:after="50" w:afterLines="50"/>
      <w:ind w:firstLineChars="0"/>
    </w:pPr>
    <w:rPr>
      <w:rFonts w:ascii="黑体" w:eastAsia="黑体"/>
    </w:rPr>
  </w:style>
  <w:style w:type="paragraph" w:customStyle="1" w:styleId="215">
    <w:name w:val="标准文件_注后"/>
    <w:basedOn w:val="66"/>
    <w:autoRedefine/>
    <w:qFormat/>
    <w:uiPriority w:val="0"/>
    <w:pPr>
      <w:ind w:left="811" w:firstLine="0" w:firstLineChars="0"/>
    </w:pPr>
    <w:rPr>
      <w:sz w:val="18"/>
    </w:rPr>
  </w:style>
  <w:style w:type="paragraph" w:customStyle="1" w:styleId="216">
    <w:name w:val="标准文件_注X后"/>
    <w:basedOn w:val="66"/>
    <w:autoRedefine/>
    <w:qFormat/>
    <w:uiPriority w:val="0"/>
    <w:pPr>
      <w:ind w:left="811" w:firstLine="0" w:firstLineChars="0"/>
    </w:pPr>
    <w:rPr>
      <w:sz w:val="18"/>
    </w:rPr>
  </w:style>
  <w:style w:type="paragraph" w:customStyle="1" w:styleId="217">
    <w:name w:val="标准文件_示例后"/>
    <w:basedOn w:val="66"/>
    <w:autoRedefine/>
    <w:qFormat/>
    <w:uiPriority w:val="0"/>
    <w:pPr>
      <w:ind w:left="964" w:firstLine="0" w:firstLineChars="0"/>
    </w:pPr>
    <w:rPr>
      <w:sz w:val="18"/>
    </w:rPr>
  </w:style>
  <w:style w:type="paragraph" w:customStyle="1" w:styleId="218">
    <w:name w:val="标准文件_示例X后"/>
    <w:basedOn w:val="66"/>
    <w:link w:val="219"/>
    <w:autoRedefine/>
    <w:qFormat/>
    <w:uiPriority w:val="0"/>
    <w:pPr>
      <w:ind w:left="1049" w:firstLine="0" w:firstLineChars="0"/>
    </w:pPr>
    <w:rPr>
      <w:sz w:val="18"/>
    </w:rPr>
  </w:style>
  <w:style w:type="character" w:customStyle="1" w:styleId="219">
    <w:name w:val="标准文件_示例X后 字符"/>
    <w:basedOn w:val="194"/>
    <w:link w:val="218"/>
    <w:autoRedefine/>
    <w:qFormat/>
    <w:uiPriority w:val="0"/>
    <w:rPr>
      <w:rFonts w:ascii="宋体" w:hAnsi="Times New Roman"/>
      <w:sz w:val="18"/>
    </w:rPr>
  </w:style>
  <w:style w:type="paragraph" w:customStyle="1" w:styleId="220">
    <w:name w:val="标准文件_索引项"/>
    <w:basedOn w:val="66"/>
    <w:next w:val="66"/>
    <w:autoRedefine/>
    <w:qFormat/>
    <w:uiPriority w:val="0"/>
    <w:pPr>
      <w:tabs>
        <w:tab w:val="right" w:leader="dot" w:pos="9356"/>
      </w:tabs>
      <w:ind w:left="210" w:hanging="210" w:firstLineChars="0"/>
      <w:jc w:val="left"/>
    </w:pPr>
  </w:style>
  <w:style w:type="paragraph" w:customStyle="1" w:styleId="221">
    <w:name w:val="标准文件_附录一级无标题"/>
    <w:basedOn w:val="88"/>
    <w:autoRedefine/>
    <w:qFormat/>
    <w:uiPriority w:val="0"/>
    <w:pPr>
      <w:spacing w:before="0" w:beforeLines="0" w:after="0" w:afterLines="0" w:line="276" w:lineRule="auto"/>
      <w:outlineLvl w:val="9"/>
    </w:pPr>
    <w:rPr>
      <w:rFonts w:ascii="宋体" w:eastAsia="宋体"/>
    </w:rPr>
  </w:style>
  <w:style w:type="paragraph" w:customStyle="1" w:styleId="222">
    <w:name w:val="标准文件_附录二级无标题"/>
    <w:basedOn w:val="89"/>
    <w:autoRedefine/>
    <w:qFormat/>
    <w:uiPriority w:val="0"/>
    <w:pPr>
      <w:spacing w:before="0" w:beforeLines="0" w:after="0" w:afterLines="0" w:line="276" w:lineRule="auto"/>
      <w:outlineLvl w:val="9"/>
    </w:pPr>
    <w:rPr>
      <w:rFonts w:ascii="宋体" w:eastAsia="宋体"/>
    </w:rPr>
  </w:style>
  <w:style w:type="paragraph" w:customStyle="1" w:styleId="223">
    <w:name w:val="标准文件_附录三级无标题"/>
    <w:basedOn w:val="91"/>
    <w:autoRedefine/>
    <w:qFormat/>
    <w:uiPriority w:val="0"/>
    <w:pPr>
      <w:spacing w:before="0" w:beforeLines="0" w:after="0" w:afterLines="0" w:line="276" w:lineRule="auto"/>
      <w:outlineLvl w:val="9"/>
    </w:pPr>
    <w:rPr>
      <w:rFonts w:ascii="宋体" w:eastAsia="宋体"/>
    </w:rPr>
  </w:style>
  <w:style w:type="paragraph" w:customStyle="1" w:styleId="224">
    <w:name w:val="标准文件_附录四级无标题"/>
    <w:basedOn w:val="92"/>
    <w:autoRedefine/>
    <w:qFormat/>
    <w:uiPriority w:val="0"/>
    <w:pPr>
      <w:spacing w:before="0" w:beforeLines="0" w:after="0" w:afterLines="0" w:line="276" w:lineRule="auto"/>
      <w:outlineLvl w:val="9"/>
    </w:pPr>
    <w:rPr>
      <w:rFonts w:ascii="宋体" w:eastAsia="宋体"/>
    </w:rPr>
  </w:style>
  <w:style w:type="paragraph" w:customStyle="1" w:styleId="225">
    <w:name w:val="标准文件_附录五级无标题"/>
    <w:basedOn w:val="94"/>
    <w:autoRedefine/>
    <w:qFormat/>
    <w:uiPriority w:val="0"/>
    <w:pPr>
      <w:spacing w:before="0" w:beforeLines="0" w:after="0" w:afterLines="0" w:line="276" w:lineRule="auto"/>
      <w:outlineLvl w:val="9"/>
    </w:pPr>
    <w:rPr>
      <w:rFonts w:ascii="宋体" w:eastAsia="宋体"/>
    </w:rPr>
  </w:style>
  <w:style w:type="paragraph" w:customStyle="1" w:styleId="226">
    <w:name w:val="标准文件_引言一级无标题"/>
    <w:basedOn w:val="210"/>
    <w:next w:val="66"/>
    <w:autoRedefine/>
    <w:qFormat/>
    <w:uiPriority w:val="0"/>
    <w:pPr>
      <w:spacing w:before="0" w:beforeLines="0" w:after="0" w:afterLines="0" w:line="276" w:lineRule="auto"/>
    </w:pPr>
    <w:rPr>
      <w:rFonts w:ascii="宋体" w:eastAsia="宋体"/>
    </w:rPr>
  </w:style>
  <w:style w:type="paragraph" w:customStyle="1" w:styleId="227">
    <w:name w:val="标准文件_引言二级无标题"/>
    <w:basedOn w:val="211"/>
    <w:next w:val="66"/>
    <w:autoRedefine/>
    <w:qFormat/>
    <w:uiPriority w:val="0"/>
    <w:pPr>
      <w:spacing w:before="0" w:beforeLines="0" w:after="0" w:afterLines="0" w:line="276" w:lineRule="auto"/>
    </w:pPr>
    <w:rPr>
      <w:rFonts w:ascii="宋体" w:eastAsia="宋体"/>
    </w:rPr>
  </w:style>
  <w:style w:type="paragraph" w:customStyle="1" w:styleId="228">
    <w:name w:val="标准文件_引言三级无标题"/>
    <w:basedOn w:val="212"/>
    <w:autoRedefine/>
    <w:qFormat/>
    <w:uiPriority w:val="0"/>
    <w:pPr>
      <w:spacing w:before="0" w:beforeLines="0" w:after="0" w:afterLines="0" w:line="276" w:lineRule="auto"/>
    </w:pPr>
    <w:rPr>
      <w:rFonts w:ascii="宋体" w:eastAsia="宋体"/>
    </w:rPr>
  </w:style>
  <w:style w:type="paragraph" w:customStyle="1" w:styleId="229">
    <w:name w:val="标准文件_引言四级无标题"/>
    <w:basedOn w:val="213"/>
    <w:next w:val="66"/>
    <w:autoRedefine/>
    <w:qFormat/>
    <w:uiPriority w:val="0"/>
    <w:pPr>
      <w:spacing w:before="0" w:beforeLines="0" w:after="0" w:afterLines="0" w:line="276" w:lineRule="auto"/>
    </w:pPr>
    <w:rPr>
      <w:rFonts w:ascii="宋体" w:eastAsia="宋体"/>
    </w:rPr>
  </w:style>
  <w:style w:type="paragraph" w:customStyle="1" w:styleId="230">
    <w:name w:val="标准文件_引言五级无标题"/>
    <w:basedOn w:val="214"/>
    <w:next w:val="66"/>
    <w:autoRedefine/>
    <w:qFormat/>
    <w:uiPriority w:val="0"/>
    <w:pPr>
      <w:spacing w:before="0" w:beforeLines="0" w:after="0" w:afterLines="0" w:line="276" w:lineRule="auto"/>
    </w:pPr>
    <w:rPr>
      <w:rFonts w:ascii="宋体" w:eastAsia="宋体"/>
    </w:rPr>
  </w:style>
  <w:style w:type="paragraph" w:customStyle="1" w:styleId="231">
    <w:name w:val="标准文件_索引标题"/>
    <w:basedOn w:val="73"/>
    <w:next w:val="66"/>
    <w:autoRedefine/>
    <w:qFormat/>
    <w:uiPriority w:val="0"/>
    <w:rPr>
      <w:rFonts w:hAnsi="黑体"/>
    </w:rPr>
  </w:style>
  <w:style w:type="paragraph" w:customStyle="1" w:styleId="232">
    <w:name w:val="标准文件_脚注内容"/>
    <w:basedOn w:val="66"/>
    <w:autoRedefine/>
    <w:qFormat/>
    <w:uiPriority w:val="0"/>
    <w:pPr>
      <w:ind w:left="400" w:leftChars="200" w:hanging="200" w:hangingChars="200"/>
    </w:pPr>
    <w:rPr>
      <w:sz w:val="15"/>
    </w:rPr>
  </w:style>
  <w:style w:type="paragraph" w:customStyle="1" w:styleId="233">
    <w:name w:val="标准文件_术语条一"/>
    <w:basedOn w:val="172"/>
    <w:next w:val="66"/>
    <w:autoRedefine/>
    <w:qFormat/>
    <w:uiPriority w:val="0"/>
  </w:style>
  <w:style w:type="paragraph" w:customStyle="1" w:styleId="234">
    <w:name w:val="标准文件_术语条二"/>
    <w:basedOn w:val="175"/>
    <w:next w:val="66"/>
    <w:autoRedefine/>
    <w:qFormat/>
    <w:uiPriority w:val="0"/>
  </w:style>
  <w:style w:type="paragraph" w:customStyle="1" w:styleId="235">
    <w:name w:val="标准文件_术语条三"/>
    <w:basedOn w:val="174"/>
    <w:next w:val="66"/>
    <w:autoRedefine/>
    <w:qFormat/>
    <w:uiPriority w:val="0"/>
  </w:style>
  <w:style w:type="paragraph" w:customStyle="1" w:styleId="236">
    <w:name w:val="标准文件_术语条四"/>
    <w:basedOn w:val="177"/>
    <w:next w:val="66"/>
    <w:autoRedefine/>
    <w:qFormat/>
    <w:uiPriority w:val="0"/>
  </w:style>
  <w:style w:type="paragraph" w:customStyle="1" w:styleId="237">
    <w:name w:val="标准文件_术语条五"/>
    <w:basedOn w:val="173"/>
    <w:next w:val="66"/>
    <w:autoRedefine/>
    <w:qFormat/>
    <w:uiPriority w:val="0"/>
  </w:style>
  <w:style w:type="paragraph" w:customStyle="1" w:styleId="23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9">
    <w:name w:val="发布"/>
    <w:basedOn w:val="31"/>
    <w:autoRedefine/>
    <w:qFormat/>
    <w:uiPriority w:val="0"/>
    <w:rPr>
      <w:rFonts w:ascii="黑体" w:eastAsia="黑体"/>
      <w:spacing w:val="85"/>
      <w:w w:val="100"/>
      <w:position w:val="3"/>
      <w:sz w:val="28"/>
      <w:szCs w:val="28"/>
    </w:rPr>
  </w:style>
  <w:style w:type="paragraph" w:customStyle="1" w:styleId="240">
    <w:name w:val="正文1"/>
    <w:autoRedefine/>
    <w:qFormat/>
    <w:uiPriority w:val="0"/>
    <w:pPr>
      <w:jc w:val="both"/>
    </w:pPr>
    <w:rPr>
      <w:rFonts w:ascii="微软雅黑" w:hAnsi="微软雅黑" w:eastAsia="宋体" w:cs="宋体"/>
      <w:kern w:val="2"/>
      <w:sz w:val="21"/>
      <w:szCs w:val="21"/>
      <w:lang w:val="en-US" w:eastAsia="zh-CN" w:bidi="ar-SA"/>
    </w:rPr>
  </w:style>
  <w:style w:type="paragraph" w:customStyle="1" w:styleId="241">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42">
    <w:name w:val="正文3"/>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43">
    <w:name w:val="正文4"/>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44">
    <w:name w:val="章标题"/>
    <w:next w:val="245"/>
    <w:autoRedefine/>
    <w:qFormat/>
    <w:uiPriority w:val="99"/>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45">
    <w:name w:val="段"/>
    <w:autoRedefine/>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2"/>
      <w:lang w:val="en-US" w:eastAsia="zh-CN" w:bidi="ar-SA"/>
    </w:rPr>
  </w:style>
  <w:style w:type="paragraph" w:customStyle="1" w:styleId="246">
    <w:name w:val="一级条标题"/>
    <w:next w:val="245"/>
    <w:autoRedefine/>
    <w:qFormat/>
    <w:uiPriority w:val="99"/>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47">
    <w:name w:val="二级无"/>
    <w:basedOn w:val="248"/>
    <w:autoRedefine/>
    <w:qFormat/>
    <w:uiPriority w:val="99"/>
    <w:pPr>
      <w:spacing w:beforeLines="0" w:afterLines="0"/>
    </w:pPr>
    <w:rPr>
      <w:rFonts w:ascii="宋体" w:eastAsia="宋体"/>
    </w:rPr>
  </w:style>
  <w:style w:type="paragraph" w:customStyle="1" w:styleId="248">
    <w:name w:val="二级条标题"/>
    <w:basedOn w:val="246"/>
    <w:next w:val="245"/>
    <w:autoRedefine/>
    <w:qFormat/>
    <w:uiPriority w:val="99"/>
    <w:pPr>
      <w:numPr>
        <w:ilvl w:val="2"/>
      </w:numPr>
      <w:spacing w:before="50" w:after="50"/>
      <w:outlineLvl w:val="3"/>
    </w:pPr>
  </w:style>
  <w:style w:type="paragraph" w:customStyle="1" w:styleId="249">
    <w:name w:val="列项——（一级）"/>
    <w:autoRedefine/>
    <w:qFormat/>
    <w:uiPriority w:val="0"/>
    <w:pPr>
      <w:widowControl w:val="0"/>
      <w:numPr>
        <w:ilvl w:val="0"/>
        <w:numId w:val="23"/>
      </w:numPr>
      <w:jc w:val="both"/>
    </w:pPr>
    <w:rPr>
      <w:rFonts w:ascii="宋体" w:hAnsi="Times New Roman" w:eastAsia="宋体" w:cs="Times New Roman"/>
      <w:sz w:val="21"/>
      <w:lang w:val="en-US" w:eastAsia="zh-CN" w:bidi="ar-SA"/>
    </w:rPr>
  </w:style>
  <w:style w:type="paragraph" w:customStyle="1" w:styleId="250">
    <w:name w:val="三级无"/>
    <w:basedOn w:val="251"/>
    <w:autoRedefine/>
    <w:qFormat/>
    <w:uiPriority w:val="0"/>
    <w:pPr>
      <w:spacing w:before="0" w:beforeLines="0" w:after="0" w:afterLines="0"/>
    </w:pPr>
    <w:rPr>
      <w:rFonts w:ascii="宋体" w:eastAsia="宋体"/>
    </w:rPr>
  </w:style>
  <w:style w:type="paragraph" w:customStyle="1" w:styleId="251">
    <w:name w:val="三级条标题"/>
    <w:basedOn w:val="248"/>
    <w:next w:val="245"/>
    <w:autoRedefine/>
    <w:qFormat/>
    <w:uiPriority w:val="0"/>
    <w:pPr>
      <w:numPr>
        <w:ilvl w:val="3"/>
      </w:numPr>
      <w:outlineLvl w:val="4"/>
    </w:pPr>
  </w:style>
  <w:style w:type="character" w:customStyle="1" w:styleId="252">
    <w:name w:val="纯文本 字符"/>
    <w:basedOn w:val="31"/>
    <w:link w:val="18"/>
    <w:autoRedefine/>
    <w:semiHidden/>
    <w:qFormat/>
    <w:uiPriority w:val="99"/>
    <w:rPr>
      <w:rFonts w:ascii="宋体" w:hAnsi="Courier New"/>
      <w:kern w:val="2"/>
      <w:sz w:val="21"/>
      <w:szCs w:val="21"/>
    </w:rPr>
  </w:style>
  <w:style w:type="paragraph" w:styleId="253">
    <w:name w:val="List Paragraph"/>
    <w:basedOn w:val="1"/>
    <w:autoRedefine/>
    <w:qFormat/>
    <w:uiPriority w:val="99"/>
    <w:pPr>
      <w:ind w:firstLine="420" w:firstLineChars="200"/>
    </w:pPr>
  </w:style>
  <w:style w:type="character" w:customStyle="1" w:styleId="254">
    <w:name w:val="cf01"/>
    <w:basedOn w:val="31"/>
    <w:autoRedefine/>
    <w:qFormat/>
    <w:uiPriority w:val="0"/>
    <w:rPr>
      <w:rFonts w:hint="eastAsia" w:ascii="Microsoft YaHei UI" w:hAnsi="Microsoft YaHei UI" w:eastAsia="Microsoft YaHei UI"/>
      <w:sz w:val="18"/>
      <w:szCs w:val="18"/>
    </w:rPr>
  </w:style>
  <w:style w:type="paragraph" w:customStyle="1" w:styleId="255">
    <w:name w:val="修订1"/>
    <w:autoRedefine/>
    <w:hidden/>
    <w:semiHidden/>
    <w:qFormat/>
    <w:uiPriority w:val="99"/>
    <w:rPr>
      <w:rFonts w:ascii="Calibri" w:hAnsi="Calibri" w:eastAsia="宋体" w:cs="Times New Roman"/>
      <w:kern w:val="2"/>
      <w:sz w:val="21"/>
      <w:szCs w:val="21"/>
      <w:lang w:val="en-US" w:eastAsia="zh-CN" w:bidi="ar-SA"/>
    </w:rPr>
  </w:style>
  <w:style w:type="paragraph" w:customStyle="1" w:styleId="256">
    <w:name w:val="正文5"/>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57">
    <w:name w:val="正文6"/>
    <w:autoRedefine/>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tiff"/><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A86C1559E7142AC80997C079E4CAD72"/>
        <w:style w:val=""/>
        <w:category>
          <w:name w:val="常规"/>
          <w:gallery w:val="placeholder"/>
        </w:category>
        <w:types>
          <w:type w:val="bbPlcHdr"/>
        </w:types>
        <w:behaviors>
          <w:behavior w:val="content"/>
        </w:behaviors>
        <w:description w:val=""/>
        <w:guid w:val="{C4CEC87F-E8C0-4066-99BF-9A49D495AF01}"/>
      </w:docPartPr>
      <w:docPartBody>
        <w:p w14:paraId="6FA09927">
          <w:pPr>
            <w:pStyle w:val="5"/>
            <w:rPr>
              <w:rFonts w:hint="eastAsia"/>
            </w:rPr>
          </w:pPr>
          <w:r>
            <w:rPr>
              <w:rStyle w:val="4"/>
              <w:rFonts w:hint="eastAsia"/>
            </w:rPr>
            <w:t>单击或点击此处输入文字。</w:t>
          </w:r>
        </w:p>
      </w:docPartBody>
    </w:docPart>
    <w:docPart>
      <w:docPartPr>
        <w:name w:val="AF94C139233748B9A95C77D39F946680"/>
        <w:style w:val=""/>
        <w:category>
          <w:name w:val="常规"/>
          <w:gallery w:val="placeholder"/>
        </w:category>
        <w:types>
          <w:type w:val="bbPlcHdr"/>
        </w:types>
        <w:behaviors>
          <w:behavior w:val="content"/>
        </w:behaviors>
        <w:description w:val=""/>
        <w:guid w:val="{AAC7D7B8-22F0-4983-9909-D3A676728478}"/>
      </w:docPartPr>
      <w:docPartBody>
        <w:p w14:paraId="7E43B008">
          <w:pPr>
            <w:pStyle w:val="6"/>
            <w:rPr>
              <w:rFonts w:hint="eastAsia"/>
            </w:rPr>
          </w:pPr>
          <w:r>
            <w:rPr>
              <w:rStyle w:val="4"/>
              <w:rFonts w:hint="eastAsia"/>
            </w:rPr>
            <w:t>选择一项。</w:t>
          </w:r>
        </w:p>
      </w:docPartBody>
    </w:docPart>
    <w:docPart>
      <w:docPartPr>
        <w:name w:val="E88BE41D328E4984A2161E47991CFC5F"/>
        <w:style w:val=""/>
        <w:category>
          <w:name w:val="常规"/>
          <w:gallery w:val="placeholder"/>
        </w:category>
        <w:types>
          <w:type w:val="bbPlcHdr"/>
        </w:types>
        <w:behaviors>
          <w:behavior w:val="content"/>
        </w:behaviors>
        <w:description w:val=""/>
        <w:guid w:val="{E9B058E4-6B35-427C-9FD2-268A13F24E69}"/>
      </w:docPartPr>
      <w:docPartBody>
        <w:p w14:paraId="28FEB198">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221"/>
    <w:rsid w:val="000F2B1D"/>
    <w:rsid w:val="00115444"/>
    <w:rsid w:val="0019005C"/>
    <w:rsid w:val="001E19DF"/>
    <w:rsid w:val="001E332A"/>
    <w:rsid w:val="002E3EC8"/>
    <w:rsid w:val="003455A5"/>
    <w:rsid w:val="00352515"/>
    <w:rsid w:val="003651D0"/>
    <w:rsid w:val="00365A69"/>
    <w:rsid w:val="00387D47"/>
    <w:rsid w:val="003B1DFB"/>
    <w:rsid w:val="003E0E58"/>
    <w:rsid w:val="0042583A"/>
    <w:rsid w:val="00441CEA"/>
    <w:rsid w:val="00450221"/>
    <w:rsid w:val="004537AE"/>
    <w:rsid w:val="004642DF"/>
    <w:rsid w:val="004B26D2"/>
    <w:rsid w:val="00505A11"/>
    <w:rsid w:val="005247DC"/>
    <w:rsid w:val="00532666"/>
    <w:rsid w:val="00533077"/>
    <w:rsid w:val="00556F87"/>
    <w:rsid w:val="005647FB"/>
    <w:rsid w:val="005E1361"/>
    <w:rsid w:val="006077F1"/>
    <w:rsid w:val="006359FC"/>
    <w:rsid w:val="00656FED"/>
    <w:rsid w:val="006769A0"/>
    <w:rsid w:val="006C17EC"/>
    <w:rsid w:val="006F4CBA"/>
    <w:rsid w:val="0072187F"/>
    <w:rsid w:val="0077024E"/>
    <w:rsid w:val="00794BD5"/>
    <w:rsid w:val="007C3870"/>
    <w:rsid w:val="007C56C0"/>
    <w:rsid w:val="007E1CA5"/>
    <w:rsid w:val="0081139F"/>
    <w:rsid w:val="00835383"/>
    <w:rsid w:val="00881378"/>
    <w:rsid w:val="008E37EE"/>
    <w:rsid w:val="00915659"/>
    <w:rsid w:val="0094663C"/>
    <w:rsid w:val="00967993"/>
    <w:rsid w:val="00973DC5"/>
    <w:rsid w:val="009A1F54"/>
    <w:rsid w:val="00A02F5A"/>
    <w:rsid w:val="00A068E9"/>
    <w:rsid w:val="00A3357F"/>
    <w:rsid w:val="00A340AE"/>
    <w:rsid w:val="00A44828"/>
    <w:rsid w:val="00A53543"/>
    <w:rsid w:val="00A64EF3"/>
    <w:rsid w:val="00A73D12"/>
    <w:rsid w:val="00B322C0"/>
    <w:rsid w:val="00B4119B"/>
    <w:rsid w:val="00BC6F93"/>
    <w:rsid w:val="00BF606D"/>
    <w:rsid w:val="00C850C7"/>
    <w:rsid w:val="00C91602"/>
    <w:rsid w:val="00C977EF"/>
    <w:rsid w:val="00CD6F89"/>
    <w:rsid w:val="00CE7038"/>
    <w:rsid w:val="00D3245E"/>
    <w:rsid w:val="00D657C7"/>
    <w:rsid w:val="00D969AA"/>
    <w:rsid w:val="00DD0E80"/>
    <w:rsid w:val="00E138DE"/>
    <w:rsid w:val="00E462FA"/>
    <w:rsid w:val="00E62453"/>
    <w:rsid w:val="00E70B80"/>
    <w:rsid w:val="00EA09EA"/>
    <w:rsid w:val="00EF0185"/>
    <w:rsid w:val="00EF5D17"/>
    <w:rsid w:val="00F142AC"/>
    <w:rsid w:val="00F66422"/>
    <w:rsid w:val="00FA6A23"/>
    <w:rsid w:val="00FD5817"/>
    <w:rsid w:val="00FD7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4A86C1559E7142AC80997C079E4CAD7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F94C139233748B9A95C77D39F94668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88BE41D328E4984A2161E47991CFC5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17</Pages>
  <Words>12064</Words>
  <Characters>12524</Characters>
  <Lines>117</Lines>
  <Paragraphs>33</Paragraphs>
  <TotalTime>0</TotalTime>
  <ScaleCrop>false</ScaleCrop>
  <LinksUpToDate>false</LinksUpToDate>
  <CharactersWithSpaces>12795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2022-07-21T18:52:00Z</dcterms:created>
  <dc:creator>DELL</dc:creator>
  <dc:description>&lt;config cover="true" show_menu="true" version="1.0.0" doctype="SDKXY"&gt;_x000d_
&lt;/config&gt;</dc:description>
  <cp:lastModifiedBy>于惊鸿</cp:lastModifiedBy>
  <cp:lastPrinted>2024-06-26T06:09:00Z</cp:lastPrinted>
  <dcterms:modified xsi:type="dcterms:W3CDTF">2024-09-25T05:52:31Z</dcterms:modified>
  <dc:title>地方标准</dc:title>
  <cp:revision>315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205024A42C8A44F49F55A9791E01527A_13</vt:lpwstr>
  </property>
</Properties>
</file>